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296" w:rsidRPr="00F72296" w:rsidRDefault="00F72296" w:rsidP="00F72296">
      <w:pPr>
        <w:spacing w:after="0" w:line="240" w:lineRule="auto"/>
        <w:jc w:val="center"/>
        <w:rPr>
          <w:rFonts w:ascii="Times New Roman" w:eastAsia="Times New Roman" w:hAnsi="Times New Roman" w:cs="Times New Roman"/>
          <w:color w:val="000000"/>
          <w:sz w:val="27"/>
          <w:szCs w:val="27"/>
          <w:lang w:eastAsia="pt-BR"/>
        </w:rPr>
      </w:pPr>
      <w:r w:rsidRPr="00F72296">
        <w:rPr>
          <w:rFonts w:ascii="Verdana" w:eastAsia="Times New Roman" w:hAnsi="Verdana" w:cs="Times New Roman"/>
          <w:noProof/>
          <w:color w:val="000000"/>
          <w:sz w:val="27"/>
          <w:szCs w:val="27"/>
          <w:lang w:eastAsia="pt-BR"/>
        </w:rPr>
        <w:drawing>
          <wp:inline distT="0" distB="0" distL="0" distR="0">
            <wp:extent cx="742950" cy="781050"/>
            <wp:effectExtent l="0" t="0" r="0" b="0"/>
            <wp:docPr id="1" name="Imagem 1" descr="https://pje1g.trf1.jus.br/pje/img/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je1g.trf1.jus.br/pje/img/Brasa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781050"/>
                    </a:xfrm>
                    <a:prstGeom prst="rect">
                      <a:avLst/>
                    </a:prstGeom>
                    <a:noFill/>
                    <a:ln>
                      <a:noFill/>
                    </a:ln>
                  </pic:spPr>
                </pic:pic>
              </a:graphicData>
            </a:graphic>
          </wp:inline>
        </w:drawing>
      </w:r>
    </w:p>
    <w:p w:rsidR="00F72296" w:rsidRPr="00F72296" w:rsidRDefault="00F72296" w:rsidP="00F72296">
      <w:pPr>
        <w:spacing w:after="0" w:line="240" w:lineRule="auto"/>
        <w:jc w:val="center"/>
        <w:rPr>
          <w:rFonts w:ascii="Times New Roman" w:eastAsia="Times New Roman" w:hAnsi="Times New Roman" w:cs="Times New Roman"/>
          <w:color w:val="000000"/>
          <w:sz w:val="27"/>
          <w:szCs w:val="27"/>
          <w:lang w:eastAsia="pt-BR"/>
        </w:rPr>
      </w:pPr>
      <w:r w:rsidRPr="00F72296">
        <w:rPr>
          <w:rFonts w:ascii="Verdana" w:eastAsia="Times New Roman" w:hAnsi="Verdana" w:cs="Times New Roman"/>
          <w:b/>
          <w:bCs/>
          <w:color w:val="000000"/>
          <w:sz w:val="27"/>
          <w:szCs w:val="27"/>
          <w:lang w:eastAsia="pt-BR"/>
        </w:rPr>
        <w:t>Seção Judiciária do Estado da Bahia </w:t>
      </w:r>
    </w:p>
    <w:p w:rsidR="00F72296" w:rsidRPr="00F72296" w:rsidRDefault="00F72296" w:rsidP="00F72296">
      <w:pPr>
        <w:spacing w:after="0" w:line="240" w:lineRule="auto"/>
        <w:jc w:val="center"/>
        <w:rPr>
          <w:rFonts w:ascii="Times New Roman" w:eastAsia="Times New Roman" w:hAnsi="Times New Roman" w:cs="Times New Roman"/>
          <w:color w:val="000000"/>
          <w:sz w:val="27"/>
          <w:szCs w:val="27"/>
          <w:lang w:eastAsia="pt-BR"/>
        </w:rPr>
      </w:pPr>
      <w:r w:rsidRPr="00F72296">
        <w:rPr>
          <w:rFonts w:ascii="Verdana" w:eastAsia="Times New Roman" w:hAnsi="Verdana" w:cs="Times New Roman"/>
          <w:b/>
          <w:bCs/>
          <w:color w:val="000000"/>
          <w:sz w:val="27"/>
          <w:szCs w:val="27"/>
          <w:lang w:eastAsia="pt-BR"/>
        </w:rPr>
        <w:t>14ª Vara Federal Cível da SJBA</w:t>
      </w:r>
    </w:p>
    <w:p w:rsidR="00F72296" w:rsidRPr="00F72296" w:rsidRDefault="00F72296" w:rsidP="00F72296">
      <w:pPr>
        <w:spacing w:after="0" w:line="240" w:lineRule="auto"/>
        <w:jc w:val="center"/>
        <w:rPr>
          <w:rFonts w:ascii="Times New Roman" w:eastAsia="Times New Roman" w:hAnsi="Times New Roman" w:cs="Times New Roman"/>
          <w:color w:val="000000"/>
          <w:sz w:val="24"/>
          <w:szCs w:val="24"/>
          <w:lang w:eastAsia="pt-BR"/>
        </w:rPr>
      </w:pPr>
      <w:r w:rsidRPr="00F72296">
        <w:rPr>
          <w:rFonts w:ascii="Times New Roman" w:eastAsia="Times New Roman" w:hAnsi="Times New Roman" w:cs="Times New Roman"/>
          <w:color w:val="000000"/>
          <w:sz w:val="24"/>
          <w:szCs w:val="24"/>
          <w:lang w:eastAsia="pt-BR"/>
        </w:rPr>
        <w:pict>
          <v:rect id="_x0000_i1026" style="width:0;height:1.5pt" o:hralign="center" o:hrstd="t" o:hr="t" fillcolor="#a0a0a0" stroked="f"/>
        </w:pict>
      </w:r>
    </w:p>
    <w:p w:rsidR="00F72296" w:rsidRPr="00F72296" w:rsidRDefault="00F72296" w:rsidP="00F72296">
      <w:pPr>
        <w:spacing w:after="0" w:line="240" w:lineRule="auto"/>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PROCESSO: 1005089-83.2018.4.01.3300</w:t>
      </w:r>
    </w:p>
    <w:p w:rsidR="00F72296" w:rsidRPr="00F72296" w:rsidRDefault="00F72296" w:rsidP="00F72296">
      <w:pPr>
        <w:spacing w:after="0" w:line="240" w:lineRule="auto"/>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CLASSE: AÇÃO CIVIL PÚBLICA (65)</w:t>
      </w:r>
      <w:r w:rsidRPr="00F72296">
        <w:rPr>
          <w:rFonts w:ascii="Times New Roman" w:eastAsia="Times New Roman" w:hAnsi="Times New Roman" w:cs="Times New Roman"/>
          <w:color w:val="000000"/>
          <w:sz w:val="24"/>
          <w:szCs w:val="24"/>
          <w:lang w:eastAsia="pt-BR"/>
        </w:rPr>
        <w:br/>
        <w:t>AUTOR: INSTITUTO DE ARQUITETOS DO BRASIL DEPARTAMENTO DA BAHIA -IAB-BA </w:t>
      </w:r>
      <w:r w:rsidRPr="00F72296">
        <w:rPr>
          <w:rFonts w:ascii="Times New Roman" w:eastAsia="Times New Roman" w:hAnsi="Times New Roman" w:cs="Times New Roman"/>
          <w:color w:val="000000"/>
          <w:sz w:val="24"/>
          <w:szCs w:val="24"/>
          <w:lang w:eastAsia="pt-BR"/>
        </w:rPr>
        <w:br/>
        <w:t>RÉU: UNIÃO FEDERAL, MUNICIPIO DE SALVADOR, CAIXA ECONOMICA FEDERAL, CONSORCIO BRT SALVADOR</w:t>
      </w:r>
    </w:p>
    <w:p w:rsidR="00F72296" w:rsidRPr="00F72296" w:rsidRDefault="00F72296" w:rsidP="00F72296">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7"/>
          <w:szCs w:val="27"/>
          <w:lang w:eastAsia="pt-BR"/>
        </w:rPr>
        <w:t> </w:t>
      </w:r>
    </w:p>
    <w:p w:rsidR="00F72296" w:rsidRPr="00F72296" w:rsidRDefault="00F72296" w:rsidP="00F72296">
      <w:pPr>
        <w:spacing w:before="100" w:beforeAutospacing="1" w:after="0" w:line="240" w:lineRule="auto"/>
        <w:jc w:val="center"/>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b/>
          <w:bCs/>
          <w:color w:val="000000"/>
          <w:sz w:val="24"/>
          <w:szCs w:val="24"/>
          <w:lang w:eastAsia="pt-BR"/>
        </w:rPr>
        <w:t>DECISÃO</w:t>
      </w:r>
    </w:p>
    <w:p w:rsidR="00F72296" w:rsidRPr="00F72296" w:rsidRDefault="00F72296" w:rsidP="00F72296">
      <w:pPr>
        <w:spacing w:before="100" w:beforeAutospacing="1" w:after="0" w:line="240" w:lineRule="auto"/>
        <w:ind w:firstLine="979"/>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7"/>
          <w:szCs w:val="27"/>
          <w:lang w:eastAsia="pt-BR"/>
        </w:rPr>
        <w:t> </w:t>
      </w:r>
    </w:p>
    <w:p w:rsidR="00F72296" w:rsidRPr="00F72296" w:rsidRDefault="00F72296" w:rsidP="00F72296">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7"/>
          <w:szCs w:val="27"/>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u w:val="single"/>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b/>
          <w:bCs/>
          <w:color w:val="000000"/>
          <w:sz w:val="24"/>
          <w:szCs w:val="24"/>
          <w:lang w:eastAsia="pt-BR"/>
        </w:rPr>
        <w:t>O INSTITUTO DE ARQUITETOS DO BRASIL DEPARTAMENTO DA BAHIA - IAB-BA</w:t>
      </w:r>
      <w:r w:rsidRPr="00F72296">
        <w:rPr>
          <w:rFonts w:ascii="Times New Roman" w:eastAsia="Times New Roman" w:hAnsi="Times New Roman" w:cs="Times New Roman"/>
          <w:color w:val="000000"/>
          <w:sz w:val="24"/>
          <w:szCs w:val="24"/>
          <w:lang w:eastAsia="pt-BR"/>
        </w:rPr>
        <w:t> propôs a presente ação civil pública em face da </w:t>
      </w:r>
      <w:r w:rsidRPr="00F72296">
        <w:rPr>
          <w:rFonts w:ascii="Times New Roman" w:eastAsia="Times New Roman" w:hAnsi="Times New Roman" w:cs="Times New Roman"/>
          <w:b/>
          <w:bCs/>
          <w:color w:val="000000"/>
          <w:sz w:val="24"/>
          <w:szCs w:val="24"/>
          <w:lang w:eastAsia="pt-BR"/>
        </w:rPr>
        <w:t>UNIÃO</w:t>
      </w:r>
      <w:r w:rsidRPr="00F72296">
        <w:rPr>
          <w:rFonts w:ascii="Times New Roman" w:eastAsia="Times New Roman" w:hAnsi="Times New Roman" w:cs="Times New Roman"/>
          <w:color w:val="000000"/>
          <w:sz w:val="24"/>
          <w:szCs w:val="24"/>
          <w:lang w:eastAsia="pt-BR"/>
        </w:rPr>
        <w:t>, da </w:t>
      </w:r>
      <w:r w:rsidRPr="00F72296">
        <w:rPr>
          <w:rFonts w:ascii="Times New Roman" w:eastAsia="Times New Roman" w:hAnsi="Times New Roman" w:cs="Times New Roman"/>
          <w:b/>
          <w:bCs/>
          <w:color w:val="000000"/>
          <w:sz w:val="24"/>
          <w:szCs w:val="24"/>
          <w:lang w:eastAsia="pt-BR"/>
        </w:rPr>
        <w:t>CAIXA ECONÔMICA FEDERAL, </w:t>
      </w:r>
      <w:r w:rsidRPr="00F72296">
        <w:rPr>
          <w:rFonts w:ascii="Times New Roman" w:eastAsia="Times New Roman" w:hAnsi="Times New Roman" w:cs="Times New Roman"/>
          <w:color w:val="000000"/>
          <w:sz w:val="24"/>
          <w:szCs w:val="24"/>
          <w:lang w:eastAsia="pt-BR"/>
        </w:rPr>
        <w:t>do </w:t>
      </w:r>
      <w:r w:rsidRPr="00F72296">
        <w:rPr>
          <w:rFonts w:ascii="Times New Roman" w:eastAsia="Times New Roman" w:hAnsi="Times New Roman" w:cs="Times New Roman"/>
          <w:b/>
          <w:bCs/>
          <w:color w:val="000000"/>
          <w:sz w:val="24"/>
          <w:szCs w:val="24"/>
          <w:lang w:eastAsia="pt-BR"/>
        </w:rPr>
        <w:t>MUNICÍPIO DE SALVADOR  </w:t>
      </w:r>
      <w:r w:rsidRPr="00F72296">
        <w:rPr>
          <w:rFonts w:ascii="Times New Roman" w:eastAsia="Times New Roman" w:hAnsi="Times New Roman" w:cs="Times New Roman"/>
          <w:color w:val="000000"/>
          <w:sz w:val="24"/>
          <w:szCs w:val="24"/>
          <w:lang w:eastAsia="pt-BR"/>
        </w:rPr>
        <w:t>e do </w:t>
      </w:r>
      <w:r w:rsidRPr="00F72296">
        <w:rPr>
          <w:rFonts w:ascii="Times New Roman" w:eastAsia="Times New Roman" w:hAnsi="Times New Roman" w:cs="Times New Roman"/>
          <w:b/>
          <w:bCs/>
          <w:color w:val="000000"/>
          <w:sz w:val="24"/>
          <w:szCs w:val="24"/>
          <w:lang w:eastAsia="pt-BR"/>
        </w:rPr>
        <w:t>CONSÓRCIO BRT – SALVADOR </w:t>
      </w:r>
      <w:r w:rsidRPr="00F72296">
        <w:rPr>
          <w:rFonts w:ascii="Times New Roman" w:eastAsia="Times New Roman" w:hAnsi="Times New Roman" w:cs="Times New Roman"/>
          <w:color w:val="000000"/>
          <w:sz w:val="24"/>
          <w:szCs w:val="24"/>
          <w:lang w:eastAsia="pt-BR"/>
        </w:rPr>
        <w:t>na qual objetiva, liminarmente, a suspensão liminar das obras</w:t>
      </w:r>
      <w:r w:rsidRPr="00F72296">
        <w:rPr>
          <w:rFonts w:ascii="Times New Roman" w:eastAsia="Times New Roman" w:hAnsi="Times New Roman" w:cs="Times New Roman"/>
          <w:b/>
          <w:bCs/>
          <w:color w:val="000000"/>
          <w:sz w:val="24"/>
          <w:szCs w:val="24"/>
          <w:lang w:eastAsia="pt-BR"/>
        </w:rPr>
        <w:t> </w:t>
      </w:r>
      <w:r w:rsidRPr="00F72296">
        <w:rPr>
          <w:rFonts w:ascii="Times New Roman" w:eastAsia="Times New Roman" w:hAnsi="Times New Roman" w:cs="Times New Roman"/>
          <w:color w:val="000000"/>
          <w:sz w:val="24"/>
          <w:szCs w:val="24"/>
          <w:lang w:eastAsia="pt-BR"/>
        </w:rPr>
        <w:t>e, ao final, que se declare a nulidade do edital de licitação - RDC n. 001/2017 e do contrato n. 29/2017.</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Explica que o referido empreendimento, fora incluído no PAC - PACTO PELA MOBILIDADE, para ser executado com recursos do Orçamento Geral da União (OGU), e Recursos de Financiamento, Programa de Infraestrutura de Transporte e da Mobilidade Urbana - Pró-transporte e  que existem 02 (duas) fontes distintas de recursos federais para fins de execução do empreendimento, detalhando que o Trecho 1 será financiado junto à Caixa Econômica Federal (CEF), linha de crédito do Pró-Transporte-FGTS e do Programa de Financiamento das Contrapartidas do Programa de Aceleração do Crescimento – CPAC e o Trecho 2 será financiado por com recursos da OGU.</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Argui, para tanto: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1)  </w:t>
      </w:r>
      <w:r w:rsidRPr="00F72296">
        <w:rPr>
          <w:rFonts w:ascii="Times New Roman" w:eastAsia="Times New Roman" w:hAnsi="Times New Roman" w:cs="Times New Roman"/>
          <w:color w:val="000000"/>
          <w:sz w:val="24"/>
          <w:szCs w:val="24"/>
          <w:u w:val="single"/>
          <w:lang w:eastAsia="pt-BR"/>
        </w:rPr>
        <w:t>AUSÊNCIA DE ANTEPROJETO DE ENGENHARIA NO EDITAL E DO EVTEA</w:t>
      </w:r>
      <w:r w:rsidRPr="00F72296">
        <w:rPr>
          <w:rFonts w:ascii="Times New Roman" w:eastAsia="Times New Roman" w:hAnsi="Times New Roman" w:cs="Times New Roman"/>
          <w:b/>
          <w:bCs/>
          <w:color w:val="000000"/>
          <w:sz w:val="24"/>
          <w:szCs w:val="24"/>
          <w:u w:val="single"/>
          <w:lang w:eastAsia="pt-BR"/>
        </w:rPr>
        <w:t> </w:t>
      </w:r>
      <w:r w:rsidRPr="00F72296">
        <w:rPr>
          <w:rFonts w:ascii="Times New Roman" w:eastAsia="Times New Roman" w:hAnsi="Times New Roman" w:cs="Times New Roman"/>
          <w:color w:val="000000"/>
          <w:sz w:val="24"/>
          <w:szCs w:val="24"/>
          <w:lang w:eastAsia="pt-BR"/>
        </w:rPr>
        <w:t xml:space="preserve">(Estudo de Viabilidade Técnica, Econômica e Ambiental), esclarecendo que a licitação sujeita-se às disposições da Lei Federal nº 12.462/2011 (RDC), regulamentada pelo Decreto nº 7.581, de 11 de outubro de 2011, cujo objeto foi a contratação integrada de pessoa jurídica isolada ou em consórcio para elaboração dos projetos básico e executivo de engenharia e execução de obras de infraestrutura em área urbana, de acordo com o §1º do art. 9º da Lei Federal nº 12.462/2011 (RDC), aduzindo que este regime é </w:t>
      </w:r>
      <w:r w:rsidRPr="00F72296">
        <w:rPr>
          <w:rFonts w:ascii="Times New Roman" w:eastAsia="Times New Roman" w:hAnsi="Times New Roman" w:cs="Times New Roman"/>
          <w:color w:val="000000"/>
          <w:sz w:val="24"/>
          <w:szCs w:val="24"/>
          <w:lang w:eastAsia="pt-BR"/>
        </w:rPr>
        <w:lastRenderedPageBreak/>
        <w:t>servil aos princípios gerais que regem a Administração Pública, as licitações e contratações públicas (CF, art. 37, </w:t>
      </w:r>
      <w:r w:rsidRPr="00F72296">
        <w:rPr>
          <w:rFonts w:ascii="Times New Roman" w:eastAsia="Times New Roman" w:hAnsi="Times New Roman" w:cs="Times New Roman"/>
          <w:i/>
          <w:iCs/>
          <w:color w:val="000000"/>
          <w:sz w:val="24"/>
          <w:szCs w:val="24"/>
          <w:lang w:eastAsia="pt-BR"/>
        </w:rPr>
        <w:t>caput, </w:t>
      </w:r>
      <w:r w:rsidRPr="00F72296">
        <w:rPr>
          <w:rFonts w:ascii="Times New Roman" w:eastAsia="Times New Roman" w:hAnsi="Times New Roman" w:cs="Times New Roman"/>
          <w:color w:val="000000"/>
          <w:sz w:val="24"/>
          <w:szCs w:val="24"/>
          <w:lang w:eastAsia="pt-BR"/>
        </w:rPr>
        <w:t>e inciso XXI), devendo, por conseguinte,  observar, obrigatoriamente, os requisitos legais constantes da legislação de regência, com especial destaque para aqueles especificados no art.3º, bem como no inciso I, do §2º, do art.9º, da Lei Federal n. 12.462/2011 (RDC) c/c o art. 74 do Decreto nº 7.581/2011, que disciplinam a obrigatoriedade do anteprojeto de engenharia dentre os documentos que compõem o instrumento convocatório, enfatizando que sem esse anteprojeto, qualquer orçamento apresentado, seja pela Municipalidade, seja pelas proponentes, seja pela vencedora, é puramente aleatório, já que não existem parâmetros objetivos que sejam capazes de nortear a elaboração das Planilhas de Custos unitários e globais de todos os serviços, materiais e insumos da obra.</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Agrega que a inexistência do EVTEA (Estudo de Viabilidade Técnica, Econômica e Ambiental), igualmente, apresenta potencialidade de ocasionar graves prejuízos ao erário devido à não comprovação de viabilidade do empreendimento, da adequação dos seus custos estimados e da proposta vencedora ao serviço efetivamente desejado/contratado.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Esclarece que o valor total da obra estimado pela Municipalidade para o BRT Lapa-Iguatemi é de cerca de R$800.000.000,00 (oitocentos milhões), um dos mais caros modais, segunda afirma,  dentre aqueles realizados nas demais cidades brasileiras, sendo R$300.000.000,00 (trezentos milhões) com recursos do PAC e R$500.000.000,00 (quinhentos milhões) financiados pela Caixa Econômica Federal, com a contrapartida da Prefeitura Municipal.</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Explica  que o EVTEA visa elidir possível dano futuro ao erário municipal, pois sem o estudo de viabilidade econômica não se pode verificar se a Fazenda Municipal terá receitas bastantes para adimplir  o pagamento dos empréstimos solicitados no valor de R$500.000.000,00 (quinhentos milhões), podendo vir a ocorrer o sequestro das cotas do FPM (Fundo de Participação dos Municípios) dadas em garantia, que constituem uma das modalidades de transferência de recursos financeiros da União para os Estados e Municípios, prevista no art. 159 da Constituição Federal.</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Afirma não ser difícil inferir que o orçamento do empreendimento e as propostas foram superfaturadas, sendo que em qualquer das hipóteses, se observará prejuízos de grave monta.</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Tem como presente indício de grave dano financeiro-patrimonial, ambiental, urbanístico, estético e paisagístico que pode vir a ocorrer, bem como pela relevância dos bens jurídicos a serem protegidos.</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2) </w:t>
      </w:r>
      <w:r w:rsidRPr="00F72296">
        <w:rPr>
          <w:rFonts w:ascii="Times New Roman" w:eastAsia="Times New Roman" w:hAnsi="Times New Roman" w:cs="Times New Roman"/>
          <w:color w:val="000000"/>
          <w:sz w:val="24"/>
          <w:szCs w:val="24"/>
          <w:u w:val="single"/>
          <w:lang w:eastAsia="pt-BR"/>
        </w:rPr>
        <w:t>AUSÊNCIA DE PUBLICIDADE EM TODAS AS FASES E PROCEDIMENTOS DO PROCESSO DE LICITAÇÃO (art. 3º c/c o inciso VII, do art. 4º, da Lei 12.462/2011)</w:t>
      </w:r>
      <w:r w:rsidRPr="00F72296">
        <w:rPr>
          <w:rFonts w:ascii="Times New Roman" w:eastAsia="Times New Roman" w:hAnsi="Times New Roman" w:cs="Times New Roman"/>
          <w:color w:val="000000"/>
          <w:sz w:val="24"/>
          <w:szCs w:val="24"/>
          <w:lang w:eastAsia="pt-BR"/>
        </w:rPr>
        <w:t>,</w:t>
      </w:r>
      <w:r w:rsidRPr="00F72296">
        <w:rPr>
          <w:rFonts w:ascii="Times New Roman" w:eastAsia="Times New Roman" w:hAnsi="Times New Roman" w:cs="Times New Roman"/>
          <w:b/>
          <w:bCs/>
          <w:color w:val="000000"/>
          <w:sz w:val="24"/>
          <w:szCs w:val="24"/>
          <w:lang w:eastAsia="pt-BR"/>
        </w:rPr>
        <w:t> </w:t>
      </w:r>
      <w:r w:rsidRPr="00F72296">
        <w:rPr>
          <w:rFonts w:ascii="Times New Roman" w:eastAsia="Times New Roman" w:hAnsi="Times New Roman" w:cs="Times New Roman"/>
          <w:color w:val="000000"/>
          <w:sz w:val="24"/>
          <w:szCs w:val="24"/>
          <w:lang w:eastAsia="pt-BR"/>
        </w:rPr>
        <w:t>por</w:t>
      </w:r>
      <w:r w:rsidRPr="00F72296">
        <w:rPr>
          <w:rFonts w:ascii="Times New Roman" w:eastAsia="Times New Roman" w:hAnsi="Times New Roman" w:cs="Times New Roman"/>
          <w:b/>
          <w:bCs/>
          <w:color w:val="000000"/>
          <w:sz w:val="24"/>
          <w:szCs w:val="24"/>
          <w:lang w:eastAsia="pt-BR"/>
        </w:rPr>
        <w:t> </w:t>
      </w:r>
      <w:r w:rsidRPr="00F72296">
        <w:rPr>
          <w:rFonts w:ascii="Times New Roman" w:eastAsia="Times New Roman" w:hAnsi="Times New Roman" w:cs="Times New Roman"/>
          <w:color w:val="000000"/>
          <w:sz w:val="24"/>
          <w:szCs w:val="24"/>
          <w:lang w:eastAsia="pt-BR"/>
        </w:rPr>
        <w:t xml:space="preserve">não constar dos anexos do Edital de Licitação - RDC nº 001/2017, disponibilizados à consulta pública, cópia do anteprojeto de engenharia, em anexo ao ato convocatório, e nem tampouco do EVTEA, a justificar o empreendimento, em completa violação ao art. 9o, §2º, inciso I, da Lei Federal nº 12.462/2011 (RDC) c/c o §1º do art.74 do Decreto nº 7.581/2011, afirmando que à época da licitação, somente foi publicado em sítio eletrônico o Edital de Licitação - RDC nº 001/2017, sem constar os seus anexos, que </w:t>
      </w:r>
      <w:r w:rsidRPr="00F72296">
        <w:rPr>
          <w:rFonts w:ascii="Times New Roman" w:eastAsia="Times New Roman" w:hAnsi="Times New Roman" w:cs="Times New Roman"/>
          <w:color w:val="000000"/>
          <w:sz w:val="24"/>
          <w:szCs w:val="24"/>
          <w:lang w:eastAsia="pt-BR"/>
        </w:rPr>
        <w:lastRenderedPageBreak/>
        <w:t>integram o ato convocatório, que somente eram disponibilizados pessoalmente na SUCOP, para gravação em mídia e mediante o pagamento de uma taxa no valor de R$100,00 (cem reais).</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Os anexos do Edital não foram publicados e disponibilizados no sítio eletrônico. As fases do procedimento do certame não foram igualmente publicadas e o contrato, já celebrado e ora em vigor, que deveria estar disponível atualmente na página oficial da internet, também não restou publicado, em que pese a expressa determinação legal de fazê-lo. Os interessados de outros Estados não teriam acesso fácil a todos os anexos do ato convocatório, pela exigência do comparecimento pessoal ao órgão SUCOP em Salvador.</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u w:val="single"/>
          <w:lang w:eastAsia="pt-BR"/>
        </w:rPr>
        <w:t>3) ILEGALIDADE DO INÍCIO DA EXECUÇÃO DAS OBRAS – INEXISTÊNCIA DE PROJETO BÁSICO E EXECUTIVO</w:t>
      </w:r>
      <w:r w:rsidRPr="00F72296">
        <w:rPr>
          <w:rFonts w:ascii="Times New Roman" w:eastAsia="Times New Roman" w:hAnsi="Times New Roman" w:cs="Times New Roman"/>
          <w:color w:val="000000"/>
          <w:sz w:val="24"/>
          <w:szCs w:val="24"/>
          <w:lang w:eastAsia="pt-BR"/>
        </w:rPr>
        <w:t>, o que estaria a violar as disposições normativas referentes à execução de obras e serviços de engenharia previstos na legislação brasileira.</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u w:val="single"/>
          <w:lang w:eastAsia="pt-BR"/>
        </w:rPr>
        <w:t>4) INEXISTÊNCIA DE DEMANDA QUE JUSTIFIQUE A OPÇÃO PELO BRT – MANUAL DO BRT – MCIDADES.</w:t>
      </w:r>
      <w:r w:rsidRPr="00F72296">
        <w:rPr>
          <w:rFonts w:ascii="Times New Roman" w:eastAsia="Times New Roman" w:hAnsi="Times New Roman" w:cs="Times New Roman"/>
          <w:color w:val="000000"/>
          <w:sz w:val="24"/>
          <w:szCs w:val="24"/>
          <w:lang w:eastAsia="pt-BR"/>
        </w:rPr>
        <w:t> O empreendimento BRT Lapa-Iguatemi - Trecho 1/Trecho 2 não atende aos requisitos técnicos de enquadramento mínimo da demanda de passageiros especificada no MANUAL DO BRT, editado pelo Ministério das Cidades, o que comprova que a justificativa técnica do empreendimento não está plenamente demonstrada Está evidenciado que o Estudo da Demanda apresentada pelo Município de Salvador não justifica tecnicamente a escolha do BRT nos moldes adotados.</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b/>
          <w:bCs/>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u w:val="single"/>
          <w:lang w:eastAsia="pt-BR"/>
        </w:rPr>
        <w:t>5)  DESVIO DE FINALIDADE DA APLICAÇÃO DO RECURSO PROGRAMA DE INFRAESTRUTURA DE TRANSPORTE E DA MOBILIDADE URBANA - PRÓ-TRANSPORTE – FGTS. </w:t>
      </w:r>
      <w:r w:rsidRPr="00F72296">
        <w:rPr>
          <w:rFonts w:ascii="Times New Roman" w:eastAsia="Times New Roman" w:hAnsi="Times New Roman" w:cs="Times New Roman"/>
          <w:color w:val="000000"/>
          <w:sz w:val="24"/>
          <w:szCs w:val="24"/>
          <w:lang w:eastAsia="pt-BR"/>
        </w:rPr>
        <w:t>Os recursos advindos do PROGRAMA DE INFRAESTRUTURA DE TRANSPORTE E DA MOBILIDADE URBANA - PRÓ-TRANSPORTE – FGTS, obrigatoriamente, por determinação legal, devem ser aplicados em obras que privilegiam o transporte coletivo urbano de maneira a garantir o retorno dos financiamentos concedidos e conferir maior alcance social às aplicações do Fundo de Garantia do Tempo de Serviço – FGTS, de acordo com o art. 1º e Anexo I da Instrução Normativa nº 41 de 24/10/2012, editada pelo Ministério das Cidades, que regulamenta o Programa de Infraestrutura de Transporte e da Mobilidade Urbana - Pró-Transporte, no entanto, é que o empreendimento BRT Lapa-Iguatemi - Trecho 1 destina quase 60% do seu orçamento ao transporte individual,  violando, ainda, o art. 6º, II,  da Lei nº 12.587/2012.</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u w:val="single"/>
          <w:lang w:eastAsia="pt-BR"/>
        </w:rPr>
        <w:t>6) AUSÊNCIA DO ESTUDO DE IMPACTO DE VIZINHANÇA (EIV) E DO RELATÓRIO DE IMPACTO DE VIZINHANÇA (RIV).</w:t>
      </w:r>
      <w:r w:rsidRPr="00F72296">
        <w:rPr>
          <w:rFonts w:ascii="Times New Roman" w:eastAsia="Times New Roman" w:hAnsi="Times New Roman" w:cs="Times New Roman"/>
          <w:b/>
          <w:bCs/>
          <w:color w:val="000000"/>
          <w:sz w:val="24"/>
          <w:szCs w:val="24"/>
          <w:lang w:eastAsia="pt-BR"/>
        </w:rPr>
        <w:t> </w:t>
      </w:r>
      <w:r w:rsidRPr="00F72296">
        <w:rPr>
          <w:rFonts w:ascii="Times New Roman" w:eastAsia="Times New Roman" w:hAnsi="Times New Roman" w:cs="Times New Roman"/>
          <w:color w:val="000000"/>
          <w:sz w:val="24"/>
          <w:szCs w:val="24"/>
          <w:lang w:eastAsia="pt-BR"/>
        </w:rPr>
        <w:t xml:space="preserve">De acordo com a Lei Municipal n. 9.148/2016, a LOUOS ou Lei de Ordenamento do Uso do Solo de Salvador-BA, empreendimentos tais como o BRT Lapa-Iguatemi, demandam a apresentação de EIA-RIMA, por se enquadrarem dentre aqueles Empreendimentos Geradores de Impacto de </w:t>
      </w:r>
      <w:r w:rsidRPr="00F72296">
        <w:rPr>
          <w:rFonts w:ascii="Times New Roman" w:eastAsia="Times New Roman" w:hAnsi="Times New Roman" w:cs="Times New Roman"/>
          <w:color w:val="000000"/>
          <w:sz w:val="24"/>
          <w:szCs w:val="24"/>
          <w:lang w:eastAsia="pt-BR"/>
        </w:rPr>
        <w:lastRenderedPageBreak/>
        <w:t>Vizinhança - EGIV são sujeitos à elaboração de Estudo de Impacto de Vizinhança (EIV) e do respectivo Relatório de Impacto de Vizinhança (RIV), de forma a contemplar os efeitos positivos e negativos do empreendimento quanto aos impactos na qualidade de vida da população residente num raio de influência de quinhentos metros e o Edital de Licitação - RDC n. 001/2017 não contempla a realização do EIV-RIV, em que pese a expressa e inequívoca determinação legal para fazê-lo.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u w:val="single"/>
          <w:lang w:eastAsia="pt-BR"/>
        </w:rPr>
        <w:t>7)  AUSÊNCIA DE SIGILO DO ORÇAMENTO ESTIMATIVO DA CONTRATAÇÃO (ART. 6º, , DA LEI Nº 12.462/2011 C/C O ART.48 DO DECRETO </w:t>
      </w:r>
      <w:r w:rsidRPr="00F72296">
        <w:rPr>
          <w:rFonts w:ascii="Times New Roman" w:eastAsia="Times New Roman" w:hAnsi="Times New Roman" w:cs="Times New Roman"/>
          <w:i/>
          <w:iCs/>
          <w:color w:val="000000"/>
          <w:sz w:val="24"/>
          <w:szCs w:val="24"/>
          <w:lang w:eastAsia="pt-BR"/>
        </w:rPr>
        <w:t>CAPUT </w:t>
      </w:r>
      <w:r w:rsidRPr="00F72296">
        <w:rPr>
          <w:rFonts w:ascii="Times New Roman" w:eastAsia="Times New Roman" w:hAnsi="Times New Roman" w:cs="Times New Roman"/>
          <w:color w:val="000000"/>
          <w:sz w:val="24"/>
          <w:szCs w:val="24"/>
          <w:u w:val="single"/>
          <w:lang w:eastAsia="pt-BR"/>
        </w:rPr>
        <w:t>MUNICIPAL Nº 24.868/2014).</w:t>
      </w:r>
      <w:r w:rsidRPr="00F72296">
        <w:rPr>
          <w:rFonts w:ascii="Times New Roman" w:eastAsia="Times New Roman" w:hAnsi="Times New Roman" w:cs="Times New Roman"/>
          <w:b/>
          <w:bCs/>
          <w:color w:val="000000"/>
          <w:sz w:val="24"/>
          <w:szCs w:val="24"/>
          <w:lang w:eastAsia="pt-BR"/>
        </w:rPr>
        <w:t> </w:t>
      </w:r>
      <w:r w:rsidRPr="00F72296">
        <w:rPr>
          <w:rFonts w:ascii="Times New Roman" w:eastAsia="Times New Roman" w:hAnsi="Times New Roman" w:cs="Times New Roman"/>
          <w:color w:val="000000"/>
          <w:sz w:val="24"/>
          <w:szCs w:val="24"/>
          <w:lang w:eastAsia="pt-BR"/>
        </w:rPr>
        <w:t>Ocorre que o Edital de Licitação - RDC nº 001/2017 conta expressamente com o anexo XVII – orçamento estimado, que à página 3, especifica o valor do orçamento estimado em R$377.257.180,83, no qual a Municipalidade tornou-o público, em que pese a expressa e inequívoca determinação legal proibindo-o de fazê-lo. A Municipalidade, ao publicar o Edital de Licitação - RDC nº 001/2017 contendo expressamente o orçamento, infringe não somente a Lei nº 12.462/2011 (RDC) (art. 6º), como também o próprio Decreto Municipal nº 24.868/2014 (art. 48), possibilitando eventuais conluios entre os potenciais licitante e restringindo a competitividade, o que macula por completo o certame, devendo declara a nulidade deste certame.</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b/>
          <w:bCs/>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u w:val="single"/>
          <w:lang w:eastAsia="pt-BR"/>
        </w:rPr>
        <w:t>8) INEXISTÊNCIA DE MOTIVAÇÃO/JUSTIFICATIVA PARA A CONTRATAÇÃO INTEGRADA.</w:t>
      </w:r>
      <w:r w:rsidRPr="00F72296">
        <w:rPr>
          <w:rFonts w:ascii="Times New Roman" w:eastAsia="Times New Roman" w:hAnsi="Times New Roman" w:cs="Times New Roman"/>
          <w:b/>
          <w:bCs/>
          <w:color w:val="000000"/>
          <w:sz w:val="24"/>
          <w:szCs w:val="24"/>
          <w:lang w:eastAsia="pt-BR"/>
        </w:rPr>
        <w:t> </w:t>
      </w:r>
      <w:r w:rsidRPr="00F72296">
        <w:rPr>
          <w:rFonts w:ascii="Times New Roman" w:eastAsia="Times New Roman" w:hAnsi="Times New Roman" w:cs="Times New Roman"/>
          <w:color w:val="000000"/>
          <w:sz w:val="24"/>
          <w:szCs w:val="24"/>
          <w:lang w:eastAsia="pt-BR"/>
        </w:rPr>
        <w:t>No que tange à escolha do modelo de RDC pela municipalidade, foi constada a deficiência na motivação da escolha do regime de contratação integrada, visto que, o Edital de Licitação - RDC n. 001/2017, além de não justificar técnica e economicamente a utilização do regime, não demonstra se o objeto envolve inovação tecnológica ou técnica, possibilidade de execução com diferentes metodologias, ou possibilidade de execução com tecnologias de domínio restrito no mercado. O edital, termo de referência de seu anexo I, estão em fragrante desalinho com os ditames legais prescritos nos incisos I, II, III, do art. 9º, da Lei 12.462/2011 e com a jurisprudência do TCU.</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u w:val="single"/>
          <w:lang w:eastAsia="pt-BR"/>
        </w:rPr>
        <w:t>9) FALTA DE JUSTIFICATIVA PARA O NÃO PARCELAMENTO DO OBJETO – RESTRIÇÃO INDEVIDA À AMPLA PARTICIPAÇÃO DOS LICITANTES (ART. 4º, INCISO VI, DA LEI Nº 12.462/2011).</w:t>
      </w:r>
      <w:r w:rsidRPr="00F72296">
        <w:rPr>
          <w:rFonts w:ascii="Times New Roman" w:eastAsia="Times New Roman" w:hAnsi="Times New Roman" w:cs="Times New Roman"/>
          <w:b/>
          <w:bCs/>
          <w:color w:val="000000"/>
          <w:sz w:val="24"/>
          <w:szCs w:val="24"/>
          <w:lang w:eastAsia="pt-BR"/>
        </w:rPr>
        <w:t> </w:t>
      </w:r>
      <w:r w:rsidRPr="00F72296">
        <w:rPr>
          <w:rFonts w:ascii="Times New Roman" w:eastAsia="Times New Roman" w:hAnsi="Times New Roman" w:cs="Times New Roman"/>
          <w:color w:val="000000"/>
          <w:sz w:val="24"/>
          <w:szCs w:val="24"/>
          <w:lang w:eastAsia="pt-BR"/>
        </w:rPr>
        <w:t>Não houve justificativa adequada e suficiente para o não parcelamento do objeto do Edital de Licitação - RDC n. 001/2017, violando o art. 4º, inciso VI, da Lei nº 12.462/2011.</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Enaltece que  caso não se paralisem de imediato as obras aludidas, há o risco premente e plausível de que se venha a gerar prejuízos financeiros de elevada monta, sobretudo considerando que o projeto proposto do BRT já é de elevadíssimo custo, o mais alto no país.</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xml:space="preserve">Acrescenta que a  execução das obras do BRT, cuja sustação liminar é postulada pode ser perfeitamente retomada a qualquer momento ulterior, sem qualquer prejuízo significativo </w:t>
      </w:r>
      <w:r w:rsidRPr="00F72296">
        <w:rPr>
          <w:rFonts w:ascii="Times New Roman" w:eastAsia="Times New Roman" w:hAnsi="Times New Roman" w:cs="Times New Roman"/>
          <w:color w:val="000000"/>
          <w:sz w:val="24"/>
          <w:szCs w:val="24"/>
          <w:lang w:eastAsia="pt-BR"/>
        </w:rPr>
        <w:lastRenderedPageBreak/>
        <w:t>em comparação aos que poderão advir do prosseguimento da obra irregular, como ora se apresenta, destacando a reversibilidade das medidas tutelares de urgência ora pleiteadas.</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Neste contexto, requer a concessão de liminar em tutela de urgência</w:t>
      </w:r>
      <w:r w:rsidRPr="00F72296">
        <w:rPr>
          <w:rFonts w:ascii="Times New Roman" w:eastAsia="Times New Roman" w:hAnsi="Times New Roman" w:cs="Times New Roman"/>
          <w:b/>
          <w:bCs/>
          <w:color w:val="000000"/>
          <w:sz w:val="24"/>
          <w:szCs w:val="24"/>
          <w:lang w:eastAsia="pt-BR"/>
        </w:rPr>
        <w:t> </w:t>
      </w:r>
      <w:r w:rsidRPr="00F72296">
        <w:rPr>
          <w:rFonts w:ascii="Times New Roman" w:eastAsia="Times New Roman" w:hAnsi="Times New Roman" w:cs="Times New Roman"/>
          <w:color w:val="000000"/>
          <w:sz w:val="24"/>
          <w:szCs w:val="24"/>
          <w:lang w:eastAsia="pt-BR"/>
        </w:rPr>
        <w:t>para que sejam sustadas a execução de quaisquer obras e medidas de implantação do BRT Lapa-Iguatemi, bem como paralisadas novas contratações e suspensos quaisquer atos executivos e quaisquer outros atos tendentes à liberação de valores referentes ao empreendimento BRT Lapa-Iguatemi (Edital de Licitação - RDC n. 001/2017 e do Contrato n. 29/2017)</w:t>
      </w:r>
      <w:r w:rsidRPr="00F72296">
        <w:rPr>
          <w:rFonts w:ascii="Times New Roman" w:eastAsia="Times New Roman" w:hAnsi="Times New Roman" w:cs="Times New Roman"/>
          <w:b/>
          <w:bCs/>
          <w:color w:val="000000"/>
          <w:sz w:val="24"/>
          <w:szCs w:val="24"/>
          <w:lang w:eastAsia="pt-BR"/>
        </w:rPr>
        <w:t> </w:t>
      </w:r>
      <w:r w:rsidRPr="00F72296">
        <w:rPr>
          <w:rFonts w:ascii="Times New Roman" w:eastAsia="Times New Roman" w:hAnsi="Times New Roman" w:cs="Times New Roman"/>
          <w:color w:val="000000"/>
          <w:sz w:val="24"/>
          <w:szCs w:val="24"/>
          <w:lang w:eastAsia="pt-BR"/>
        </w:rPr>
        <w:t>para a Prefeitura de Salvador-BA, até o julgamento final deste feito.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Foi determinada a manifestação das entidades de direito público, que figuram no polo passivo da presente demanda.</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Manifestaram-se a União, arguindo a falta de pertinência subjetiva da autora e o Município de Salvador,  alegando, em síntese, que</w:t>
      </w:r>
      <w:r w:rsidRPr="00F72296">
        <w:rPr>
          <w:rFonts w:ascii="Times New Roman" w:eastAsia="Times New Roman" w:hAnsi="Times New Roman" w:cs="Times New Roman"/>
          <w:b/>
          <w:bCs/>
          <w:color w:val="000000"/>
          <w:sz w:val="24"/>
          <w:szCs w:val="24"/>
          <w:lang w:eastAsia="pt-BR"/>
        </w:rPr>
        <w:t>:</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1) A Prefeitura Municipal de Salvador concluiu, em 2011,</w:t>
      </w:r>
      <w:r w:rsidRPr="00F72296">
        <w:rPr>
          <w:rFonts w:ascii="Times New Roman" w:eastAsia="Times New Roman" w:hAnsi="Times New Roman" w:cs="Times New Roman"/>
          <w:b/>
          <w:bCs/>
          <w:color w:val="000000"/>
          <w:sz w:val="24"/>
          <w:szCs w:val="24"/>
          <w:lang w:eastAsia="pt-BR"/>
        </w:rPr>
        <w:t> </w:t>
      </w:r>
      <w:r w:rsidRPr="00F72296">
        <w:rPr>
          <w:rFonts w:ascii="Times New Roman" w:eastAsia="Times New Roman" w:hAnsi="Times New Roman" w:cs="Times New Roman"/>
          <w:color w:val="000000"/>
          <w:sz w:val="24"/>
          <w:szCs w:val="24"/>
          <w:lang w:eastAsia="pt-BR"/>
        </w:rPr>
        <w:t>o projeto denominado RIT – Rede Integrada de Transporte de Salvador, que prevê um conjunto de corredores com tratamento preferencial para circulação dos ônibus, integrado com outros modais do transporte coletivo da cidade – Metrô, Trem do Subúrbio, barcas e ascensores;</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2) O projeto dos Corredores de Transporte Público Integrado está concebido de acordo com a RIT – Rede Integrada de Transporte de Salvador que por sua vez segue as determinações e orientações contidas na legislação, o PDDU – Plano Diretor de Desenvolvimento Urbano de Salvador;</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3) A partir da definição da ampliação do sistema metroviário pela implantação da Linha 2 do Metrô, formalizada por meio do Convênio de Cooperação Intrafederativo nº 01/2012, de 20 de janeiro de 2012, celebrado entre o Estado da Bahia, Município de Salvador e Município de Lauro de Freitas, a rede passou a incorporar o referido modal no trecho entre Salvador e Lauro de Freitas, interligado à Linha 1 e seguindo o eixo da Av. Luís Viana Filho (Av. Paralela) na direção norte. Tal traçado foi definido pelo Procedimento de Manifestação de Interesse nº 01/2011 pelo Governo do Estado por meio da Secretaria de Desenvolvimento Urbano (SEDUR). O Projeto Corredores de Transporte Público Integrado está em harmonia com a Rede Integrada de Transporte – RIT e atende aos princípios do “Convênio de Cooperação Intrafederativo Nº 01/2012”, que tem o objetivo de definir critérios para a integração multimodal de transportes no Município;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4) O projeto beneficiará não só a população lindeira mas também as comunidades e bairros na área de influência do corredor do BRT, formado pelas avenidas Vasco da Gama, Juracy Magalhães Jr, ACM e Rua Lucaia, a exemplo da Pituba, Itaigara, Caminho das Árvores, Vale das Pedrinhas, Rio Vermelho, Chapada do Rio Vermelho, Engenho Velho de Brotas, Acupe de Brotas, Engenho Velho da Federação, Candeal, Polêmica, Vale das Muriçocas, Nordeste de Amaralina, Santa Cruz, e várias outras comunidades da cidade, que estão completamente fora da área de influência do metrô e que precisam deste modal para se integrar de forma eficiente ao sistema integrado de transporte público;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xml:space="preserve">5) Não se trata de tema novo, nem de última hora, como faz crer a narrativa da exordial. Em 27 de março de 2014 (DOC. 1), no Gabinete do Prefeito, reuniram-se agentes públicos (Secretários de Estado e do Município) para discutir a mobilidade urbana na região </w:t>
      </w:r>
      <w:r w:rsidRPr="00F72296">
        <w:rPr>
          <w:rFonts w:ascii="Times New Roman" w:eastAsia="Times New Roman" w:hAnsi="Times New Roman" w:cs="Times New Roman"/>
          <w:color w:val="000000"/>
          <w:sz w:val="24"/>
          <w:szCs w:val="24"/>
          <w:lang w:eastAsia="pt-BR"/>
        </w:rPr>
        <w:lastRenderedPageBreak/>
        <w:t>metropolitana, tendo sido deliberado e registrado em ata: “</w:t>
      </w:r>
      <w:r w:rsidRPr="00F72296">
        <w:rPr>
          <w:rFonts w:ascii="Times New Roman" w:eastAsia="Times New Roman" w:hAnsi="Times New Roman" w:cs="Times New Roman"/>
          <w:i/>
          <w:iCs/>
          <w:color w:val="000000"/>
          <w:sz w:val="24"/>
          <w:szCs w:val="24"/>
          <w:lang w:eastAsia="pt-BR"/>
        </w:rPr>
        <w:t>3) Foi ratificada a anuência do Estado da Bahia para a implantação do BRT Lapa / LIP. 4) Foi confirmado o plano de implantação de BRT nas Avenidas Transversais Estruturantes....</w:t>
      </w:r>
      <w:r w:rsidRPr="00F72296">
        <w:rPr>
          <w:rFonts w:ascii="Times New Roman" w:eastAsia="Times New Roman" w:hAnsi="Times New Roman" w:cs="Times New Roman"/>
          <w:color w:val="000000"/>
          <w:sz w:val="24"/>
          <w:szCs w:val="24"/>
          <w:lang w:eastAsia="pt-BR"/>
        </w:rPr>
        <w:t>”. Destaca que a Licença Prévia do Projeto foi concedida pelo Conselho Municipal do Meio Ambiente por meio da Resolução COMAM nº 03/2014, publicada no Diário Oficial do Município em 13 de agosto de 2014, tendo sido regularmente concluído o processo que resultou na elaboração do EIA/RIMA, o qual foi submetido, na forma da lei, à audiência pública em 24 de julho de 2014 (outras audiências públicas foram realizadas, mesmo sem serem obrigatórias). Em 16 de dezembro de 2014 foi celebrado um acordo entre o Município do Salvador e o Estado da Bahia (DOC. 2), estabelecendo diretrizes para a “</w:t>
      </w:r>
      <w:r w:rsidRPr="00F72296">
        <w:rPr>
          <w:rFonts w:ascii="Times New Roman" w:eastAsia="Times New Roman" w:hAnsi="Times New Roman" w:cs="Times New Roman"/>
          <w:i/>
          <w:iCs/>
          <w:color w:val="000000"/>
          <w:sz w:val="24"/>
          <w:szCs w:val="24"/>
          <w:lang w:eastAsia="pt-BR"/>
        </w:rPr>
        <w:t>integração do sistema BRT do corredor LAPA-LIP com a linha 2 do Metrô</w:t>
      </w:r>
      <w:r w:rsidRPr="00F72296">
        <w:rPr>
          <w:rFonts w:ascii="Times New Roman" w:eastAsia="Times New Roman" w:hAnsi="Times New Roman" w:cs="Times New Roman"/>
          <w:color w:val="000000"/>
          <w:sz w:val="24"/>
          <w:szCs w:val="24"/>
          <w:lang w:eastAsia="pt-BR"/>
        </w:rPr>
        <w:t>”;</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6) O BRT integra-se à mobilidade urbana, sendo que a etapa 1 (Iguatemi-Parque da Cidade) não é obra isolada, dissociada do planejamento urbano e viário da Cidade do Salvador. Ao contrário,  faz parte da RIT (Rede Integra de Transportes) em conjunto com as linhas 1 e 2 do metrô, com o VLT do Subúrbio e outras linhas de BRT (como as linhas azul e vermelha que estão sendo construídas agora pelo governo do Estado da Bahia</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7) A maior extensão de BRT é aquela que está sendo construída pelo Estado da Bahia, em áreas que não representam problemas de tráfego tão grandes e atuais como os do trecho 1, como demonstra tabela que integra sua manifestação.  Pelo Contrato de Programa, datado de 22 de abril de 2013 (DOC. 4), celebrado entre o Município do Salvador, Município de Lauro de Freitas e o Estado da Bahia, decorrente do Convênio de Cooperação Intrafederativo nº 01 de 2012 (DOC. 3), no contexto dos acordos sobre a transferência de controle do metrô, ficou a cargo do Estado da Bahia a construção dos dois corredores transversais e foram reservadas à capital a definição do modal a ser instalado e a sua operação;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8) A contratação foi realizada pelo Regime Diferenciado de Contratação (RDC) na modalidade de Contratação Integrada que é justamente aquela na qual “</w:t>
      </w:r>
      <w:r w:rsidRPr="00F72296">
        <w:rPr>
          <w:rFonts w:ascii="Times New Roman" w:eastAsia="Times New Roman" w:hAnsi="Times New Roman" w:cs="Times New Roman"/>
          <w:i/>
          <w:iCs/>
          <w:color w:val="000000"/>
          <w:sz w:val="24"/>
          <w:szCs w:val="24"/>
          <w:lang w:eastAsia="pt-BR"/>
        </w:rPr>
        <w:t>a contratada é responsável tanto pela elaboração do projeto básico, quanto do executivo, bem como pela execução e entrega da obra acabada, pronta para funcionar</w:t>
      </w:r>
      <w:r w:rsidRPr="00F72296">
        <w:rPr>
          <w:rFonts w:ascii="Times New Roman" w:eastAsia="Times New Roman" w:hAnsi="Times New Roman" w:cs="Times New Roman"/>
          <w:color w:val="000000"/>
          <w:sz w:val="24"/>
          <w:szCs w:val="24"/>
          <w:lang w:eastAsia="pt-BR"/>
        </w:rPr>
        <w:t>” (Lei 12.462/11, art. 9º), que é uma modalidade cuja adoção é preferencial na contratação de obras, como prescreve o art. 8º da mesma lei;</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9) houve  ampla divulgação e discussão do projeto, inclusive com o Instituto dos Arquitetos, uma das entidades nas quais a Administração Pública esteve para apresentar propostas e discutir mobilidade. No Ministério Público Estadual, em 22 de fevereiro de 2017 (DOC. 6), mais de um ano atrás, realizou-se audiência pública para apresentação do projeto para a qual, inclusive, o Município publicou convocação no Diário Oficial (DOC. 7). Realizou-se também audiência pública em 18/04/2017, na Assembleia Legislativa do Estado (DOC. 8);</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10) Não foi realizada nenhuma obra ou serviço de engenharia. Instalar canteiro de obra, colocar tapumes para isolar área, preparar o terreno (apenas retirando, podando ou transplantando árvores) não é executar obra de engenharia. Tais obras efetivamente não começaram e irão se iniciar após a aprovação do projeto básico e executivo, não ocorrendo, no caso, qualquer violação da legislação;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lastRenderedPageBreak/>
        <w:t>11) As obras de drenagem não constituem anexo, ou  acréscimo das obras, pois não é possível pensar-se em uma obra séria e responsável que não inclua as soluções de drenagem necessárias a que o objeto (construção em si) seja efetivamente utilizável. A parte das obras que estão sendo associadas exclusivamente ao transporte individual (de veículos particulares), atende a todo o fluxo de trânsito da área, o que inclui, além das ciclovias, os ônibus de transporte coletivo, taxis e outros modais de transporte individual (uber, etc.), não particular;</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12) Os recursos financeiros do financiamento tomado na CEF já estão no caixa do Município, não existindo risco de interrupção das obras por “</w:t>
      </w:r>
      <w:r w:rsidRPr="00F72296">
        <w:rPr>
          <w:rFonts w:ascii="Times New Roman" w:eastAsia="Times New Roman" w:hAnsi="Times New Roman" w:cs="Times New Roman"/>
          <w:i/>
          <w:iCs/>
          <w:color w:val="000000"/>
          <w:sz w:val="24"/>
          <w:szCs w:val="24"/>
          <w:lang w:eastAsia="pt-BR"/>
        </w:rPr>
        <w:t>insuficiência financeira</w:t>
      </w:r>
      <w:r w:rsidRPr="00F72296">
        <w:rPr>
          <w:rFonts w:ascii="Times New Roman" w:eastAsia="Times New Roman" w:hAnsi="Times New Roman" w:cs="Times New Roman"/>
          <w:color w:val="000000"/>
          <w:sz w:val="24"/>
          <w:szCs w:val="24"/>
          <w:lang w:eastAsia="pt-BR"/>
        </w:rPr>
        <w:t>”, fato, porém, que implica em </w:t>
      </w:r>
      <w:r w:rsidRPr="00F72296">
        <w:rPr>
          <w:rFonts w:ascii="Times New Roman" w:eastAsia="Times New Roman" w:hAnsi="Times New Roman" w:cs="Times New Roman"/>
          <w:i/>
          <w:iCs/>
          <w:color w:val="000000"/>
          <w:sz w:val="24"/>
          <w:szCs w:val="24"/>
          <w:lang w:eastAsia="pt-BR"/>
        </w:rPr>
        <w:t>periculum in mora </w:t>
      </w:r>
      <w:r w:rsidRPr="00F72296">
        <w:rPr>
          <w:rFonts w:ascii="Times New Roman" w:eastAsia="Times New Roman" w:hAnsi="Times New Roman" w:cs="Times New Roman"/>
          <w:color w:val="000000"/>
          <w:sz w:val="24"/>
          <w:szCs w:val="24"/>
          <w:lang w:eastAsia="pt-BR"/>
        </w:rPr>
        <w:t>inverso, pois a não utilização dos recursos segundo o cronograma de desembolsos é que pode implicar no fim do empréstimo;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13) A modalidade da contratação (Integrada), ao contrário do que afirma a inicial, transfere para o contratado o risco de erros ou inconsistências entre os projetos básicos e a proposta financeira, já que ambos são, neste caso, elaborados pela empresa. Cabe ao Consórcio contratado para a execução integrada, apresentar o projeto básico e executivo convergente com a proposta financeira e o cronograma que apresentou, sendo responsável por sua plena execução, com restritas hipóteses de aditivo. Esta exatamente a vantagem da modalidade escolhida, resultando em  </w:t>
      </w:r>
      <w:r w:rsidRPr="00F72296">
        <w:rPr>
          <w:rFonts w:ascii="Times New Roman" w:eastAsia="Times New Roman" w:hAnsi="Times New Roman" w:cs="Times New Roman"/>
          <w:i/>
          <w:iCs/>
          <w:color w:val="000000"/>
          <w:sz w:val="24"/>
          <w:szCs w:val="24"/>
          <w:lang w:eastAsia="pt-BR"/>
        </w:rPr>
        <w:t>periculum in mora </w:t>
      </w:r>
      <w:r w:rsidRPr="00F72296">
        <w:rPr>
          <w:rFonts w:ascii="Times New Roman" w:eastAsia="Times New Roman" w:hAnsi="Times New Roman" w:cs="Times New Roman"/>
          <w:color w:val="000000"/>
          <w:sz w:val="24"/>
          <w:szCs w:val="24"/>
          <w:lang w:eastAsia="pt-BR"/>
        </w:rPr>
        <w:t>inverso, uma vez que seria exatamente a suspensão da execução do contrato uma das causas que ensejaria à contratada o direito de revisão de seu contrato em virtude de força maior;</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14) Em relação a eventuais riscos ambientais – que não foram sequer especificados, as supressões  de vegetação que deveriam ser feitas na fase preliminar para a primeira etapa do BRT (objeto imediato da demanda), já ocorreram em sua totalidade, restando, em relação à vegetação, apenas operações de transplantação (retirada da árvore para replantio em outro local – preferencialmente no Parque da Cidade), cuja realização ainda não ocorreu em função da máquina especialmente comprada para esta finalidade encontrar-se para desembaraço aduaneiro no Porto de Salvador;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15) Os projetos básico e executivo ainda não foram apresentados, muito menos aprovados, sendo prematuro mencionar a possibilidade de “</w:t>
      </w:r>
      <w:r w:rsidRPr="00F72296">
        <w:rPr>
          <w:rFonts w:ascii="Times New Roman" w:eastAsia="Times New Roman" w:hAnsi="Times New Roman" w:cs="Times New Roman"/>
          <w:i/>
          <w:iCs/>
          <w:color w:val="000000"/>
          <w:sz w:val="24"/>
          <w:szCs w:val="24"/>
          <w:lang w:eastAsia="pt-BR"/>
        </w:rPr>
        <w:t>construções</w:t>
      </w:r>
      <w:r w:rsidRPr="00F72296">
        <w:rPr>
          <w:rFonts w:ascii="Times New Roman" w:eastAsia="Times New Roman" w:hAnsi="Times New Roman" w:cs="Times New Roman"/>
          <w:color w:val="000000"/>
          <w:sz w:val="24"/>
          <w:szCs w:val="24"/>
          <w:lang w:eastAsia="pt-BR"/>
        </w:rPr>
        <w:t>” ou “</w:t>
      </w:r>
      <w:r w:rsidRPr="00F72296">
        <w:rPr>
          <w:rFonts w:ascii="Times New Roman" w:eastAsia="Times New Roman" w:hAnsi="Times New Roman" w:cs="Times New Roman"/>
          <w:i/>
          <w:iCs/>
          <w:color w:val="000000"/>
          <w:sz w:val="24"/>
          <w:szCs w:val="24"/>
          <w:lang w:eastAsia="pt-BR"/>
        </w:rPr>
        <w:t>estruturas</w:t>
      </w:r>
      <w:r w:rsidRPr="00F72296">
        <w:rPr>
          <w:rFonts w:ascii="Times New Roman" w:eastAsia="Times New Roman" w:hAnsi="Times New Roman" w:cs="Times New Roman"/>
          <w:color w:val="000000"/>
          <w:sz w:val="24"/>
          <w:szCs w:val="24"/>
          <w:lang w:eastAsia="pt-BR"/>
        </w:rPr>
        <w:t>” causarem prejuízos irreversíveis à cidade ou aos sues cidadãos.</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16) Há riscos na suspensão do contrato, que podem gerar danos irreversíveis ao erário e ao interesse público decorrentes: a) do cancelamento do financiamento da CEF caso os desembolsos não sejam efetuados de acordo com o cronograma; b) configuração do direito do consórcio de obter o reequilíbrio do contrato, caso a suspensão afete o cronograma físico-financeiro do contrato, gere (como natural) despesas não previstas na proposta; c) do atraso das obras do modal em si, com a consequente manutenção de significativa parcela da população e das origens e destinos do deslocamento urbano fora do sistema planejado para funcionar integrado; d) atraso na execução das obras de drenagem inseridas no objeto e os danos ao patrimônio público e privado atingido pelas inundações; e) esgotamento dos prazos – e caducidade – das licenças e alvarás obtidos Tais circunstâncias implicam em </w:t>
      </w:r>
      <w:r w:rsidRPr="00F72296">
        <w:rPr>
          <w:rFonts w:ascii="Times New Roman" w:eastAsia="Times New Roman" w:hAnsi="Times New Roman" w:cs="Times New Roman"/>
          <w:i/>
          <w:iCs/>
          <w:color w:val="000000"/>
          <w:sz w:val="24"/>
          <w:szCs w:val="24"/>
          <w:lang w:eastAsia="pt-BR"/>
        </w:rPr>
        <w:t>periculum in mora </w:t>
      </w:r>
      <w:r w:rsidRPr="00F72296">
        <w:rPr>
          <w:rFonts w:ascii="Times New Roman" w:eastAsia="Times New Roman" w:hAnsi="Times New Roman" w:cs="Times New Roman"/>
          <w:color w:val="000000"/>
          <w:sz w:val="24"/>
          <w:szCs w:val="24"/>
          <w:lang w:eastAsia="pt-BR"/>
        </w:rPr>
        <w:t>inverso, dano ao erário e aos interesses e direitos públicos envolvidos, aí sim, em monta que o Autor não tem condições de caucionar (na forma do §1º do art. 300 do CPC) nem suportar em ação regressiva, ou seja, a serem definitivamente custeados pela população tanto em recursos do erário quanto em negação de serviços públicos essenciais;</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lastRenderedPageBreak/>
        <w:t>17) No plano jurídico a pretensão não tem melhor acolhida, pois, o art. 1.059 do CPC reafirma que, em relação à tutela provisória requerida contra a Fazenda Pública continua-se aplicando o disposto nos arts. 1º a 4º da Lei 8.437/92 e no art. 7º da Lei 12.016/09, em função do que não é cabível medida liminar que esgote, no todo ou em parte, o objeto da ação (Lei 8.437/92, art. 1º, §3º).</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Em 29 de junho p. passado, foi realizada audiência de conciliação, com a participação das partes, que resultou infrutífera.</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b/>
          <w:bCs/>
          <w:color w:val="000000"/>
          <w:sz w:val="24"/>
          <w:szCs w:val="24"/>
          <w:u w:val="single"/>
          <w:lang w:eastAsia="pt-BR"/>
        </w:rPr>
        <w:t>D e c i d 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Insta gizar, </w:t>
      </w:r>
      <w:r w:rsidRPr="00F72296">
        <w:rPr>
          <w:rFonts w:ascii="Times New Roman" w:eastAsia="Times New Roman" w:hAnsi="Times New Roman" w:cs="Times New Roman"/>
          <w:i/>
          <w:iCs/>
          <w:color w:val="000000"/>
          <w:sz w:val="24"/>
          <w:szCs w:val="24"/>
          <w:lang w:eastAsia="pt-BR"/>
        </w:rPr>
        <w:t>ab initio</w:t>
      </w:r>
      <w:r w:rsidRPr="00F72296">
        <w:rPr>
          <w:rFonts w:ascii="Times New Roman" w:eastAsia="Times New Roman" w:hAnsi="Times New Roman" w:cs="Times New Roman"/>
          <w:color w:val="000000"/>
          <w:sz w:val="24"/>
          <w:szCs w:val="24"/>
          <w:lang w:eastAsia="pt-BR"/>
        </w:rPr>
        <w:t>, ser pacífico o cabimento da tutela antecipada na ação civil pública, por força do que dispõe o art. 12, da Lei nº 7.347/85. Mister que se diga que o art. 1.059, do CPC, reedita norma jurídica já veiculada pela Lei nº 9.494/1997, no que diz respeito a limitações à concessão de tutela antecipada contra a Fazenda Pública. A restrição deve ser interpretada restritivamente, para que não se torne inconstitucional à luz do princípio do acesso à justiça, previsto no art. 5º, XXXV, da Constituição Federal.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A concessão de tutela provisória de urgência requer elementos que evidenciem a probabilidade do direito e o perigo de dano ou risco ao resultado útil do processo, nos termos do art. 300 do Novo Código de Processo Civil.</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Para a sua concessão exige-se que não haja perigo de irreversibilidade dos efeitos da decisão, consoante art. 300, § 3º,  do  CPC, devendo, ainda, a parte responder pelo prejuízo que a efetivação desta tutela causar à parte adversa, nas hipóteses previstas no art. 302 do aludido diploma legal.</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Já a tutela de evidência, por sua vez, será concedida independentemente da demonstração do perigo de dano ou de risco ao resultado útil do processo nas hipóteses elencadas no art. 311 do Novo Código de Processo Civil.</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Em análise perfunctória, própria deste momento processual, verifico que não estão presentes os requisitos autorizadores do deferimento do pedido liminar.</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Como narra a inicial, Modalidade Regime Diferenciado de Contratações Públicas (RDC), cujo objeto foi a contratação integrada para elaboração de projetos básico e executivo de engenharia e execução de obras de infraestrutura em área urbana para implantação do “TRECHO 1” do empreendimento "CORREDORES DE TRANSPORTE PÚBLICO INTEGRADO DE SALVADOR – LAPA/L.I.P.".</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Tal contratação, como já restou evidenciado,  fundamenta-se na Lei Federal nº 12.462/2011, que institui o Regime Diferenciado de Contratações Públicas (RDC) e no Decreto Municipal nº 24.868/2014, em função de tais intervenções terem sido selecionadas e incluídas no Programa de Aceleração do Crescimento  - PAC, conforme Portaria Nº 222 de 24 de abril de 2014, do Ministério das Cidades, publicada no Diário Oficial da União de 25/04/2014, bem como por tratar-se de “</w:t>
      </w:r>
      <w:r w:rsidRPr="00F72296">
        <w:rPr>
          <w:rFonts w:ascii="Times New Roman" w:eastAsia="Times New Roman" w:hAnsi="Times New Roman" w:cs="Times New Roman"/>
          <w:i/>
          <w:iCs/>
          <w:color w:val="000000"/>
          <w:sz w:val="24"/>
          <w:szCs w:val="24"/>
          <w:lang w:eastAsia="pt-BR"/>
        </w:rPr>
        <w:t xml:space="preserve">obras e serviços de </w:t>
      </w:r>
      <w:r w:rsidRPr="00F72296">
        <w:rPr>
          <w:rFonts w:ascii="Times New Roman" w:eastAsia="Times New Roman" w:hAnsi="Times New Roman" w:cs="Times New Roman"/>
          <w:i/>
          <w:iCs/>
          <w:color w:val="000000"/>
          <w:sz w:val="24"/>
          <w:szCs w:val="24"/>
          <w:lang w:eastAsia="pt-BR"/>
        </w:rPr>
        <w:lastRenderedPageBreak/>
        <w:t>engenharia relacionadas a melhorias de mobilidade urbana</w:t>
      </w:r>
      <w:r w:rsidRPr="00F72296">
        <w:rPr>
          <w:rFonts w:ascii="Times New Roman" w:eastAsia="Times New Roman" w:hAnsi="Times New Roman" w:cs="Times New Roman"/>
          <w:color w:val="000000"/>
          <w:sz w:val="24"/>
          <w:szCs w:val="24"/>
          <w:lang w:eastAsia="pt-BR"/>
        </w:rPr>
        <w:t>”, na esteira do que dispõe o §1º do art. 9º da Lei Federal nº 12.462/2011 (RDC), que versa sobre a contratação integrada, caracterizando-a como aquela que compreende a elaboração e o desenvolvimento dos projetos básico e executivo, bem como  a execução da obra propriamente dita.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Reveste-se de inteira razoabilidade a alegação do Município réu  no sentido de que no contexto da situação concreta (fazendo o BRT parte de todo um projeto de mobilidade previsto para integrar a cidade do Salvador e a Região Metropolitana), é preciso dizer que a viabilidade Técnica, Econômica e Ambiental restou demonstrada por meio dos mais diversos estudos que subsidiaram a estruturação do sistema (RIT e no Plano de Mobilidade) e a edição de leis, como a do PDDU, ganhando plausibilidade a alegação de que  os estudos foram realizados,   de modo a suprir os estudos que seriam reunidos sob a denominação de EVTEA, pois o desenvolvimento e o estabelecimento de um plano integrado de mobilidade, capaz de incluir em um só sistema o transporte público da região metropolitana, de acordo com o PDDU é, induvidosamente, obra que integra o conjunto da cidade de Salvador, mas não apenas esta, eis que envolve o município contíguo de Lauro de Freitas, abarcando parceria com o Estado da Bahia, integrando o complexo viário, trazendo soluções urbanísticas para a mobilidade de uma boa parte da capital.</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Passo à análise da argumentação ensaiada na inicial, para efeito de suspensão da execução de quaisquer obra e medidas de implantação do BRT – Trecho 1:</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1) </w:t>
      </w:r>
      <w:r w:rsidRPr="00F72296">
        <w:rPr>
          <w:rFonts w:ascii="Times New Roman" w:eastAsia="Times New Roman" w:hAnsi="Times New Roman" w:cs="Times New Roman"/>
          <w:color w:val="000000"/>
          <w:sz w:val="24"/>
          <w:szCs w:val="24"/>
          <w:u w:val="single"/>
          <w:lang w:eastAsia="pt-BR"/>
        </w:rPr>
        <w:t>AUSÊNCIA DE ANTEPROJETO DE ENGENHARIA NO EDITAL E DO EVTEA (Estudo de Viabilidade Técnica, Econômica e Ambiental)</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Deve ser dito quanto ao ponto, que o art. 5º, da Lei nº 12.462/2011, formula apenas a exigência da definição do objeto a ser licitado, de forma clara e precisa, no edital respectivo, afastando especificações “</w:t>
      </w:r>
      <w:r w:rsidRPr="00F72296">
        <w:rPr>
          <w:rFonts w:ascii="Times New Roman" w:eastAsia="Times New Roman" w:hAnsi="Times New Roman" w:cs="Times New Roman"/>
          <w:i/>
          <w:iCs/>
          <w:color w:val="000000"/>
          <w:sz w:val="24"/>
          <w:szCs w:val="24"/>
          <w:lang w:eastAsia="pt-BR"/>
        </w:rPr>
        <w:t>excessivas, irrelevantes ou desnecessárias</w:t>
      </w:r>
      <w:r w:rsidRPr="00F72296">
        <w:rPr>
          <w:rFonts w:ascii="Times New Roman" w:eastAsia="Times New Roman" w:hAnsi="Times New Roman" w:cs="Times New Roman"/>
          <w:color w:val="000000"/>
          <w:sz w:val="24"/>
          <w:szCs w:val="24"/>
          <w:lang w:eastAsia="pt-BR"/>
        </w:rPr>
        <w:t>”.</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O anteprojeto de engenharia deve oferecer elementos mínimos que permitam a efetiva caracterização da obra em cumprimento à exigência do art. 9º, §2º, da Lei nº 12.462/2011. Tais elementos devem conferir à licitação lastro mínimo comparativo para a definição da proposta mais vantajosa e oferecer aos concorrentes informações suficientes para o dimensionamento de suas soluções e o cálculo de sua proposta (Acórdão TCU 2.980/2015, Plenário, rel. Min. Ana Arraes)</w:t>
      </w:r>
      <w:hyperlink r:id="rId5" w:anchor="_ftn1" w:history="1">
        <w:r w:rsidRPr="00F72296">
          <w:rPr>
            <w:rFonts w:ascii="Times New Roman" w:eastAsia="Times New Roman" w:hAnsi="Times New Roman" w:cs="Times New Roman"/>
            <w:color w:val="0000FF"/>
            <w:sz w:val="24"/>
            <w:szCs w:val="24"/>
            <w:u w:val="single"/>
            <w:lang w:eastAsia="pt-BR"/>
          </w:rPr>
          <w:t>[1]</w:t>
        </w:r>
      </w:hyperlink>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Ao que se pode  vislumbrar da análise do instrumento convocatório e de seus anexos, incluindo o termo de referência é que essa exigência foi aparentemente satisfeita e a prova é que acorreram licitantes, em número satisfatório,  que apresentaram propostas. Segundo o Município, “</w:t>
      </w:r>
      <w:r w:rsidRPr="00F72296">
        <w:rPr>
          <w:rFonts w:ascii="Times New Roman" w:eastAsia="Times New Roman" w:hAnsi="Times New Roman" w:cs="Times New Roman"/>
          <w:i/>
          <w:iCs/>
          <w:color w:val="000000"/>
          <w:sz w:val="24"/>
          <w:szCs w:val="24"/>
          <w:lang w:eastAsia="pt-BR"/>
        </w:rPr>
        <w:t>10 licitantes apresentaram propostas, a maioria (oito organizados em consórcios, totalizando 29 empresas participando do certame, 2 isoladas e 27 reunidas em consórcios)</w:t>
      </w:r>
      <w:r w:rsidRPr="00F72296">
        <w:rPr>
          <w:rFonts w:ascii="Times New Roman" w:eastAsia="Times New Roman" w:hAnsi="Times New Roman" w:cs="Times New Roman"/>
          <w:color w:val="000000"/>
          <w:sz w:val="24"/>
          <w:szCs w:val="24"/>
          <w:lang w:eastAsia="pt-BR"/>
        </w:rPr>
        <w:t>”, o que é suficiente para demonstrar que houve definição suficientemente clara do objeto da licitação.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lastRenderedPageBreak/>
        <w:t>Note-se que não se trata de um projeto básico. Este, pelo regime de contratação adotado,  será elaborado pelo licitante vencedor, e fará parte integrante do objeto contratual, de modo que a Administração Pública não precisa entrar muito em detalhes, bastando que forneça elementos suficientes à caracterização da obra, o que foi feito a contento.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Nesse passo, tem razão o Município quando argumenta que na contratação integrada,  apresenta-se um anteprojeto esclarecendo a intenção de solução almejada pelo Poder Público para que as empresas interessadas utilizem suas próprias </w:t>
      </w:r>
      <w:r w:rsidRPr="00F72296">
        <w:rPr>
          <w:rFonts w:ascii="Times New Roman" w:eastAsia="Times New Roman" w:hAnsi="Times New Roman" w:cs="Times New Roman"/>
          <w:i/>
          <w:iCs/>
          <w:color w:val="000000"/>
          <w:sz w:val="24"/>
          <w:szCs w:val="24"/>
          <w:lang w:eastAsia="pt-BR"/>
        </w:rPr>
        <w:t>expertises</w:t>
      </w:r>
      <w:r w:rsidRPr="00F72296">
        <w:rPr>
          <w:rFonts w:ascii="Times New Roman" w:eastAsia="Times New Roman" w:hAnsi="Times New Roman" w:cs="Times New Roman"/>
          <w:color w:val="000000"/>
          <w:sz w:val="24"/>
          <w:szCs w:val="24"/>
          <w:lang w:eastAsia="pt-BR"/>
        </w:rPr>
        <w:t> para desenvolver projetos capazes de entregar tal solução. Somente após a definição da proposta de solução vencedora é que será possível, com a apresentação do projeto básico, especificação de objeto e de custos reais finais. O anteprojeto a cargo da Administração Pública não tem as mesmas características de um projeto básico, ao contrário, deve apenas apresentar as informações preliminares necessárias para que as empresas possam conceber suas propostas e concorrer com as soluções que criarem.</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O anteprojeto de engenharia é muito menos detalhado que o projeto básico, pois enquanto no projeto básico há documentos bem especificados, no anteprojeto eles são apenas preliminares.</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Quanto à alegada inexistência do  EVTEA (Estudo de Viabilidade Técnica, Econômica e Ambiental), tenho como aceitável a argüição do Município, segundo a qual em se tratando de uma obra de integração do sistema viário na cidade de Salvador e Região Metropolitana, a viabilidade Técnica, Econômica e Ambiental resulta dos vários estudos que subsidiaram a estruturação do sistema (RIT e no Plano de Mobilidade) e a edição de leis, como a do PDDU.</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b/>
          <w:bCs/>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2)</w:t>
      </w:r>
      <w:r w:rsidRPr="00F72296">
        <w:rPr>
          <w:rFonts w:ascii="Times New Roman" w:eastAsia="Times New Roman" w:hAnsi="Times New Roman" w:cs="Times New Roman"/>
          <w:b/>
          <w:bCs/>
          <w:color w:val="000000"/>
          <w:sz w:val="24"/>
          <w:szCs w:val="24"/>
          <w:lang w:eastAsia="pt-BR"/>
        </w:rPr>
        <w:t> </w:t>
      </w:r>
      <w:r w:rsidRPr="00F72296">
        <w:rPr>
          <w:rFonts w:ascii="Times New Roman" w:eastAsia="Times New Roman" w:hAnsi="Times New Roman" w:cs="Times New Roman"/>
          <w:color w:val="000000"/>
          <w:sz w:val="24"/>
          <w:szCs w:val="24"/>
          <w:u w:val="single"/>
          <w:lang w:eastAsia="pt-BR"/>
        </w:rPr>
        <w:t>AUSÊNCIA DE PUBLICIDADE EM TODAS AS FASES E PROCEDIMENTOS DO PROCESSO DE LICITAÇÃO (ART. 3º C/C O INCISO VII, DO ART. 4º, DA LEI 12.462/2011)</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É</w:t>
      </w:r>
      <w:r w:rsidRPr="00F72296">
        <w:rPr>
          <w:rFonts w:ascii="Times New Roman" w:eastAsia="Times New Roman" w:hAnsi="Times New Roman" w:cs="Times New Roman"/>
          <w:b/>
          <w:bCs/>
          <w:color w:val="000000"/>
          <w:sz w:val="24"/>
          <w:szCs w:val="24"/>
          <w:lang w:eastAsia="pt-BR"/>
        </w:rPr>
        <w:t> </w:t>
      </w:r>
      <w:r w:rsidRPr="00F72296">
        <w:rPr>
          <w:rFonts w:ascii="Times New Roman" w:eastAsia="Times New Roman" w:hAnsi="Times New Roman" w:cs="Times New Roman"/>
          <w:color w:val="000000"/>
          <w:sz w:val="24"/>
          <w:szCs w:val="24"/>
          <w:lang w:eastAsia="pt-BR"/>
        </w:rPr>
        <w:t>de se</w:t>
      </w:r>
      <w:r w:rsidRPr="00F72296">
        <w:rPr>
          <w:rFonts w:ascii="Times New Roman" w:eastAsia="Times New Roman" w:hAnsi="Times New Roman" w:cs="Times New Roman"/>
          <w:b/>
          <w:bCs/>
          <w:color w:val="000000"/>
          <w:sz w:val="24"/>
          <w:szCs w:val="24"/>
          <w:lang w:eastAsia="pt-BR"/>
        </w:rPr>
        <w:t> </w:t>
      </w:r>
      <w:r w:rsidRPr="00F72296">
        <w:rPr>
          <w:rFonts w:ascii="Times New Roman" w:eastAsia="Times New Roman" w:hAnsi="Times New Roman" w:cs="Times New Roman"/>
          <w:color w:val="000000"/>
          <w:sz w:val="24"/>
          <w:szCs w:val="24"/>
          <w:lang w:eastAsia="pt-BR"/>
        </w:rPr>
        <w:t>ter em mira que conquanto a publicidade configure um dos preceitos reitores da licitação e contratações também realizadas pelo RDC, e seja altamente recomendável, a publicidade, “</w:t>
      </w:r>
      <w:r w:rsidRPr="00F72296">
        <w:rPr>
          <w:rFonts w:ascii="Times New Roman" w:eastAsia="Times New Roman" w:hAnsi="Times New Roman" w:cs="Times New Roman"/>
          <w:i/>
          <w:iCs/>
          <w:color w:val="000000"/>
          <w:sz w:val="24"/>
          <w:szCs w:val="24"/>
          <w:lang w:eastAsia="pt-BR"/>
        </w:rPr>
        <w:t>em sítio eletrônico, de todas as fases e procedimentos do processo de licitação, assim como dos contratos”</w:t>
      </w:r>
      <w:r w:rsidRPr="00F72296">
        <w:rPr>
          <w:rFonts w:ascii="Times New Roman" w:eastAsia="Times New Roman" w:hAnsi="Times New Roman" w:cs="Times New Roman"/>
          <w:color w:val="000000"/>
          <w:sz w:val="24"/>
          <w:szCs w:val="24"/>
          <w:lang w:eastAsia="pt-BR"/>
        </w:rPr>
        <w:t> configura mera diretriz a ser seguida pela Administração, não tendo o cunho obrigatório, como se extrai do caput do art. 4º, que dispõe, textualmente, que “</w:t>
      </w:r>
      <w:r w:rsidRPr="00F72296">
        <w:rPr>
          <w:rFonts w:ascii="Times New Roman" w:eastAsia="Times New Roman" w:hAnsi="Times New Roman" w:cs="Times New Roman"/>
          <w:i/>
          <w:iCs/>
          <w:color w:val="000000"/>
          <w:sz w:val="24"/>
          <w:szCs w:val="24"/>
          <w:lang w:eastAsia="pt-BR"/>
        </w:rPr>
        <w:t>Nas licitações e contratos de que trata esta Lei serão observadas as seguintes diretrizes</w:t>
      </w:r>
      <w:r w:rsidRPr="00F72296">
        <w:rPr>
          <w:rFonts w:ascii="Times New Roman" w:eastAsia="Times New Roman" w:hAnsi="Times New Roman" w:cs="Times New Roman"/>
          <w:color w:val="000000"/>
          <w:sz w:val="24"/>
          <w:szCs w:val="24"/>
          <w:lang w:eastAsia="pt-BR"/>
        </w:rPr>
        <w:t>”.</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Como cediço, diretriz é recomendação e, não induz obrigatoriedade.</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Outro não é o entendimento de Benedito Dantas Chiaradia, segundo o qual:</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lastRenderedPageBreak/>
        <w:t>A lei em observação elencou uma série de diretrizes a serem observadas nos procedimentos licitatórios e nos contratuais. Importante consignar que a lei trata de diretrizes, e não de requisitos. Na verdade, diretriz e requisito não se confundem. De fato, uma diretriz nada mais é do que um indicativo destinado a servir como orientação, ao passo que um requisito é algo indispensável necessário.</w:t>
      </w:r>
      <w:hyperlink r:id="rId6" w:anchor="_ftn2" w:history="1">
        <w:r w:rsidRPr="00F72296">
          <w:rPr>
            <w:rFonts w:ascii="Times New Roman" w:eastAsia="Times New Roman" w:hAnsi="Times New Roman" w:cs="Times New Roman"/>
            <w:color w:val="0000FF"/>
            <w:sz w:val="24"/>
            <w:szCs w:val="24"/>
            <w:u w:val="single"/>
            <w:lang w:eastAsia="pt-BR"/>
          </w:rPr>
          <w:t>[2]</w:t>
        </w:r>
      </w:hyperlink>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Assim sendo,  não teria o condão de causar a nulidade do contrato, caso não observada.  </w:t>
      </w:r>
      <w:r w:rsidRPr="00F72296">
        <w:rPr>
          <w:rFonts w:ascii="Times New Roman" w:eastAsia="Times New Roman" w:hAnsi="Times New Roman" w:cs="Times New Roman"/>
          <w:b/>
          <w:bCs/>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De mais a mais, o Município, demonstra que a concepção da obra  resulta de estudos e debates travados ao longo de anos na Administração Pública, com a participação da sociedade civil, citando como exemplos da ampla divulgação e discussão do projeto, inclusive com o Instituto dos Arquitetos, uma das entidades nas quais a Administração Pública esteve para apresentar propostas e discutir mobilidade. No Ministério Público Estadual, em 22 de fevereiro de 2017, mais de um ano atrás, realizou-se audiência pública para apresentação do projeto para a qual, inclusive, o Município publicou convocação no Diário Oficial. Realizou-se também audiência pública em 18/04/2017, na Assembléia Legislativa do Estado.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Em  consulta à internet, é possível verificar a realização de várias audiências públicas sobre BRT de Salvador desde 2011</w:t>
      </w:r>
      <w:hyperlink r:id="rId7" w:anchor="_ftn3" w:history="1">
        <w:r w:rsidRPr="00F72296">
          <w:rPr>
            <w:rFonts w:ascii="Times New Roman" w:eastAsia="Times New Roman" w:hAnsi="Times New Roman" w:cs="Times New Roman"/>
            <w:color w:val="0000FF"/>
            <w:sz w:val="24"/>
            <w:szCs w:val="24"/>
            <w:u w:val="single"/>
            <w:lang w:eastAsia="pt-BR"/>
          </w:rPr>
          <w:t>[3]</w:t>
        </w:r>
      </w:hyperlink>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3) </w:t>
      </w:r>
      <w:r w:rsidRPr="00F72296">
        <w:rPr>
          <w:rFonts w:ascii="Times New Roman" w:eastAsia="Times New Roman" w:hAnsi="Times New Roman" w:cs="Times New Roman"/>
          <w:color w:val="000000"/>
          <w:sz w:val="24"/>
          <w:szCs w:val="24"/>
          <w:u w:val="single"/>
          <w:lang w:eastAsia="pt-BR"/>
        </w:rPr>
        <w:t>ILEGALIDADE DO INÍCIO DA EXECUÇÃO DAS OBRAS – INEXISTÊNCIA DE PROJETO BÁSICO E EXECUTIVO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Como já esclarecido pelo Município, as obras de engenharia ainda não se iniciaram, não tendo sido realizada nenhuma obra ou serviço de engenharia, de maneira que não há falar em ilegalidade do início da execução das obras.</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Instalar canteiro de obra, colocar tapumes para isolar área, preparar o terreno (apenas retirando, podando ou transplantando árvores) não é executar obra de engenharia. Tais obras efetivamente não começaram e irão se iniciar após a aprovação do projeto básico e executivo, não ocorrendo, no caso, como sustenta o réu, qualquer violação da legislação.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Não demasia asseverar que o § 1º, do  art. 9º, da Lei nº 12.462/2011</w:t>
      </w:r>
      <w:hyperlink r:id="rId8" w:anchor="_ftn4" w:history="1">
        <w:r w:rsidRPr="00F72296">
          <w:rPr>
            <w:rFonts w:ascii="Times New Roman" w:eastAsia="Times New Roman" w:hAnsi="Times New Roman" w:cs="Times New Roman"/>
            <w:color w:val="0000FF"/>
            <w:sz w:val="24"/>
            <w:szCs w:val="24"/>
            <w:u w:val="single"/>
            <w:lang w:eastAsia="pt-BR"/>
          </w:rPr>
          <w:t>[4]</w:t>
        </w:r>
      </w:hyperlink>
      <w:r w:rsidRPr="00F72296">
        <w:rPr>
          <w:rFonts w:ascii="Times New Roman" w:eastAsia="Times New Roman" w:hAnsi="Times New Roman" w:cs="Times New Roman"/>
          <w:color w:val="000000"/>
          <w:sz w:val="24"/>
          <w:szCs w:val="24"/>
          <w:lang w:eastAsia="pt-BR"/>
        </w:rPr>
        <w:t>, preconiza que a contratação integrada, como a realizada no caso, compreende a elaboração e desenvolvimento dos projetos básico e executivo, sendo certo que as obras não podem ser iniciadas sem o projeto executivo, a teor da norma prescrita no art. 8º, § 7º, do mesmo diploma legal</w:t>
      </w:r>
      <w:hyperlink r:id="rId9" w:anchor="_ftn5" w:history="1">
        <w:r w:rsidRPr="00F72296">
          <w:rPr>
            <w:rFonts w:ascii="Times New Roman" w:eastAsia="Times New Roman" w:hAnsi="Times New Roman" w:cs="Times New Roman"/>
            <w:color w:val="0000FF"/>
            <w:sz w:val="24"/>
            <w:szCs w:val="24"/>
            <w:u w:val="single"/>
            <w:lang w:eastAsia="pt-BR"/>
          </w:rPr>
          <w:t>[5]</w:t>
        </w:r>
      </w:hyperlink>
      <w:r w:rsidRPr="00F72296">
        <w:rPr>
          <w:rFonts w:ascii="Times New Roman" w:eastAsia="Times New Roman" w:hAnsi="Times New Roman" w:cs="Times New Roman"/>
          <w:color w:val="000000"/>
          <w:sz w:val="24"/>
          <w:szCs w:val="24"/>
          <w:lang w:eastAsia="pt-BR"/>
        </w:rPr>
        <w:t>.</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4) </w:t>
      </w:r>
      <w:r w:rsidRPr="00F72296">
        <w:rPr>
          <w:rFonts w:ascii="Times New Roman" w:eastAsia="Times New Roman" w:hAnsi="Times New Roman" w:cs="Times New Roman"/>
          <w:color w:val="000000"/>
          <w:sz w:val="24"/>
          <w:szCs w:val="24"/>
          <w:u w:val="single"/>
          <w:lang w:eastAsia="pt-BR"/>
        </w:rPr>
        <w:t>INEXISTÊNCIA DE DEMANDA QUE JUSTIFIQUE A OPÇÃO PELO BRT - MANUAL DO BRT – MCIDADES</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lastRenderedPageBreak/>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Ao contrário da premissa autoral, não há qualquer evidência de que o estudo da demanda apresentada pelo Município de Salvador não justificaria tecnicamente a escolha do BRT, podendo, em princípio, ser acolhida com proveito, a argüição do Município de  que a projeção próxima para o número de 14.256 passageiros no horário de pico, no sentido da Av. ACM, contígua ao BRT, que se pretende implantar se justificaria, levando em conta a tendência de ampliação da demanda, isso sem considerar que a própria inauguração de um transporte de massa mais eficiente provoca utilização mais intensiva. Cauciona esta convicção a necessidade da Administração Pública planejar para o futuro, com os olhos postos no crescimento da população urbana.</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5) </w:t>
      </w:r>
      <w:r w:rsidRPr="00F72296">
        <w:rPr>
          <w:rFonts w:ascii="Times New Roman" w:eastAsia="Times New Roman" w:hAnsi="Times New Roman" w:cs="Times New Roman"/>
          <w:color w:val="000000"/>
          <w:sz w:val="24"/>
          <w:szCs w:val="24"/>
          <w:u w:val="single"/>
          <w:lang w:eastAsia="pt-BR"/>
        </w:rPr>
        <w:t>DESVIO DE FINALIDADE DA APLICAÇÃO DO RECURSO PROVENIENTE DO PROGRAMA DE INFRAESTRUTURA DE TRANSPORTE E DA MOBILIDADE URBANA - PRÓ-TRANSPORTE – FGTS</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u w:val="single"/>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Também não se mostra pertinente a alegação, e isso porque a Lei nº 12.587/2012, que versa sobre a Política Nacional de Mobilidade Urbana, no seu art. 6º, traça as diretrizes dessa política, dentre as quais se insere a priorização dos serviços de transporte público coletivo sobre o transporte individual motorizado.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A assertiva não prospera, porque negar o caráter de transporte público ao BRT é algo que inteiramente descabido. O BRT é, a todas as luzes, um transporte público.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De outro lado, como já enfatizado, a diretriz não tem cunho obrigatório, posto não ser requisito e, enquanto tal, não teria eficácia normativa suficiente para determinar a nulidade do contrato que, eventualmente, não a seguisse.</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A mais disso, não se pode enxergar as soluções urbanísticas para a cidade, de modo segregado. A ordenação do sistema viário é uma só, de modo que alterando um dos vetores que compõem esse complexo, todos se beneficiarão ou se prejudicarão, a depender da qualidade da intervenção, simplesmente por estarem numa indissolúvel comunhão do espaço viário.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A propósito, vale recordar  que o art. 7º, da Lei nº 8.036/1990, atribui à Caixa Econômica Federal, na qualidade de agente operador do FGTS:</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w:t>
      </w:r>
      <w:r w:rsidRPr="00F72296">
        <w:rPr>
          <w:rFonts w:ascii="Times New Roman" w:eastAsia="Times New Roman" w:hAnsi="Times New Roman" w:cs="Times New Roman"/>
          <w:i/>
          <w:iCs/>
          <w:color w:val="000000"/>
          <w:sz w:val="24"/>
          <w:szCs w:val="24"/>
          <w:lang w:eastAsia="pt-BR"/>
        </w:rPr>
        <w:t>IV – elaborar as análises jurídica e econômico-financeira dos projetos de habitação popular, infra-estrutura urbana e saneamento básico a serem financiados com recursos do FGTS.”</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Diante disso, não se deve aquiescer com o argumento autoral segundo o qual teria havido desvio na aplicação dos referidos recursos, sem ouvir a CEF, que é o órgão que tem atribuição legal de realizar esta análise.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lastRenderedPageBreak/>
        <w:t>Neste cenário, não se pode concordar com a assertiva de que os recursos públicos destinados ao BRT de Salvador favorecem o uso de veículos particulares em detrimento do transporte público.  Qualquer intervenção na ordenação do sistema viário causará impactos positivos ou negativos em todo ele,  como já sustentado.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Dentro desta compreensão, encontra-se assistido de razão o município réu, quando aduz que  parte das obras que estão sendo associadas exclusivamente ao transporte individual (de veículos particulares), na verdade, atende a todo o fluxo de trânsito da área, o que inclui, além das ciclovias, os ônibus de transporte coletivo, taxis e outros modais de transporte individual, como o  uber, por exemplo, não particular, como os carros particulares.</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Quanto à necessidade de realização de obra de engenharia civil relativa à solução dos problemas de drenagem na região, que são notoriamente graves, como registrado no Termo de Referência), isso parece inquestionável, valendo fazer coro com o réu, quando assevera que  as obras de drenagem não constituem anexo, ou acréscimo das obras, pois não é possível pensar-se em uma obra séria e responsável que não inclua as soluções de drenagem necessárias a que o objeto, construção em si, seja, no mínimo, viável.</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A realização dessas obras está, portanto, vinculada à questão da segurança mesma do empreendimento.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Aqui vale referir à argumentação do município demandado, para evidenciar, de modo pragmático,  a necessidade da realização das obras de drenagem: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para superar este ponto, basta cogitar das consequências (administrativas e civis) da obra ser feita sem as necessárias intervenções em drenagem e, na primeira chuva mais intensa, o sistema de transporte, que deveria ser seguro e rápido, colapsar com coletivos (que pretendem que seja elétricos) parados no meio da água ou boiando (...) Obras de mobilidade de maior significado, precisam, por sua natureza, de intervenções no entorno e um projeto mais amplo, necessário para efetividade de seus objetivos. Não se trata, desta maneira, de desvio de finalidade dos recursos, ao contrário, mas da utilização dos mesmos em atendimento ao princípio da eficiência.</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Na confluência do exposto, não merece agasalho, pelo menos neste instante,  a nota técnica do autor, alusiva à proporção dos gastos relacionados ao empreendimento em questão.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6) </w:t>
      </w:r>
      <w:r w:rsidRPr="00F72296">
        <w:rPr>
          <w:rFonts w:ascii="Times New Roman" w:eastAsia="Times New Roman" w:hAnsi="Times New Roman" w:cs="Times New Roman"/>
          <w:color w:val="000000"/>
          <w:sz w:val="24"/>
          <w:szCs w:val="24"/>
          <w:u w:val="single"/>
          <w:lang w:eastAsia="pt-BR"/>
        </w:rPr>
        <w:t>AUSÊNCIA DO ESTUDO DE IMPACTO DE VIZINHANÇA (EIV) E DO RELATÓRIO DE IMPACTO DE VIZINHANÇA (RIV)</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xml:space="preserve">Consoante escólio de José Antonio Apparecido Júnior, o EIV tem por escopo garantir que os efeitos positivos da intervenção proposta sejam também usufruídos pela população </w:t>
      </w:r>
      <w:r w:rsidRPr="00F72296">
        <w:rPr>
          <w:rFonts w:ascii="Times New Roman" w:eastAsia="Times New Roman" w:hAnsi="Times New Roman" w:cs="Times New Roman"/>
          <w:color w:val="000000"/>
          <w:sz w:val="24"/>
          <w:szCs w:val="24"/>
          <w:lang w:eastAsia="pt-BR"/>
        </w:rPr>
        <w:lastRenderedPageBreak/>
        <w:t>diretamente afetada pela intervenção, mitigando-se, por sua vez, os efeitos negativos desta eventualmente advindos.</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Completa o mesmo autor:</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O EIA é um estudo de espectro mais completo  que o EIV. De fato, as atividades técnicas mínimas previstas neste estudo são muito mais amplas e complexas, e pressupõem a abordagem e solução de questões ambientais em escala mais abrangente que a proposta para a realização do EIV – em que pese tal condição, contudo, não parece haver substancial distinção entre quais os elementos que deverão ser ponderados nos estudos a realizar no EIA e no EIV no tocante à elaboração e implantação de empreendimento no meio ambiente urbano, parecendo haver somente uma distinção baseada na intensidade do impacto de tais intervenções ou em sua escala de abrangência.</w:t>
      </w:r>
      <w:hyperlink r:id="rId10" w:anchor="_ftn6" w:history="1">
        <w:r w:rsidRPr="00F72296">
          <w:rPr>
            <w:rFonts w:ascii="Times New Roman" w:eastAsia="Times New Roman" w:hAnsi="Times New Roman" w:cs="Times New Roman"/>
            <w:color w:val="0000FF"/>
            <w:sz w:val="24"/>
            <w:szCs w:val="24"/>
            <w:u w:val="single"/>
            <w:lang w:eastAsia="pt-BR"/>
          </w:rPr>
          <w:t>[6]</w:t>
        </w:r>
      </w:hyperlink>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Diante desse entendimento, há como se supor legítima a argüição do município de que os diversos estudos – extremante detalhados – que subsidiaram a elaboração do PDDU, a concepção da Rede Integrada de Transportes (RIT), a assinatura do Convênio de Cooperação Intrafederativo nº 01/2012 e a estruturação da Rede Metropolitana de Transportes Integrados (RMTI) atendem ao conteúdo e aos aspectos ordinários do EIV e do RIV e já foram contemplados no EIARIMA.</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b/>
          <w:bCs/>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7) </w:t>
      </w:r>
      <w:r w:rsidRPr="00F72296">
        <w:rPr>
          <w:rFonts w:ascii="Times New Roman" w:eastAsia="Times New Roman" w:hAnsi="Times New Roman" w:cs="Times New Roman"/>
          <w:color w:val="000000"/>
          <w:sz w:val="24"/>
          <w:szCs w:val="24"/>
          <w:u w:val="single"/>
          <w:lang w:eastAsia="pt-BR"/>
        </w:rPr>
        <w:t>AUSÊNCIA DE SIGILO DO ORÇAMENTO ESTIMATIVO DA CONTRATAÇÃO (ART. 6º, </w:t>
      </w:r>
      <w:r w:rsidRPr="00F72296">
        <w:rPr>
          <w:rFonts w:ascii="Times New Roman" w:eastAsia="Times New Roman" w:hAnsi="Times New Roman" w:cs="Times New Roman"/>
          <w:i/>
          <w:iCs/>
          <w:color w:val="000000"/>
          <w:sz w:val="24"/>
          <w:szCs w:val="24"/>
          <w:lang w:eastAsia="pt-BR"/>
        </w:rPr>
        <w:t>CAPUT</w:t>
      </w:r>
      <w:r w:rsidRPr="00F72296">
        <w:rPr>
          <w:rFonts w:ascii="Times New Roman" w:eastAsia="Times New Roman" w:hAnsi="Times New Roman" w:cs="Times New Roman"/>
          <w:color w:val="000000"/>
          <w:sz w:val="24"/>
          <w:szCs w:val="24"/>
          <w:u w:val="single"/>
          <w:lang w:eastAsia="pt-BR"/>
        </w:rPr>
        <w:t>, DA LEI 12.462/2011 C/C O ART.48 DO DECRETO MUNICIPAL N. 24.868/2014)</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u w:val="single"/>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Defende a municipalidade ré, como verdade apta a justificar a legalidade da licitação e contratação levadas a cabo, que o processo específico de contratação com financiamento pela CEF, o orçamento estimado precisa ser informado ao agente financeiro para efeito de liberação dos recursos, situação que retira a possibilidade de ser mantido sigiloso, após circular fora dos órgãos internos. Diante desta realidade, o orçamento estimado foi informado à CEF antes dela liberar os recursos e, portanto, muito tempo antes de proceder-se a licitação, a única alternativa de preservar a competitividade e a igualdade entre os licitantes é a de informar a todos sobre o orçamento, sob pena da informação poder chegar à parte dos interessados e não para todos eles. Assim, em face da forma legal de contratação do financiamento, manter absolutamente sigiloso o orçamento estimado, passa a ser determinante o tratamento igualitário entre os licitantes, para que nenhum tenha vantagem frente aos demais. Além da observância de princípios da licitação, a ausência de prejuízo, como revela a ampla concorrência, confirma a regularidade da conduta.</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xml:space="preserve">O argumento é passível de acolhimento, neste momento, havendo ainda de ser ponderado que a norma instituidora do sigilo do orçamento estimativo da contratação, parece ferir o princípio da publicidade, eis que sonega importante informação tanto da sociedade em </w:t>
      </w:r>
      <w:r w:rsidRPr="00F72296">
        <w:rPr>
          <w:rFonts w:ascii="Times New Roman" w:eastAsia="Times New Roman" w:hAnsi="Times New Roman" w:cs="Times New Roman"/>
          <w:color w:val="000000"/>
          <w:sz w:val="24"/>
          <w:szCs w:val="24"/>
          <w:lang w:eastAsia="pt-BR"/>
        </w:rPr>
        <w:lastRenderedPageBreak/>
        <w:t>geral, como dos demais pretensos licitantes, estabelecendo um orçamento oculto até o encerramento da disputa, sem razão que o justifique.</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Aqui vale referir à posição de Benedito Danta Chiaradia:</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o sigilo documental é matéria regulada em lei, com raiz na Constituição Federal.  A matriz constitucional do tema é o inciso XXXIII, do art. 5º, que determina que “</w:t>
      </w:r>
      <w:r w:rsidRPr="00F72296">
        <w:rPr>
          <w:rFonts w:ascii="Times New Roman" w:eastAsia="Times New Roman" w:hAnsi="Times New Roman" w:cs="Times New Roman"/>
          <w:i/>
          <w:iCs/>
          <w:color w:val="000000"/>
          <w:sz w:val="24"/>
          <w:szCs w:val="24"/>
          <w:lang w:eastAsia="pt-BR"/>
        </w:rPr>
        <w:t>todos têm direito a receber dos órgãos públicos informações de seu interesse particular, ou de interesse coletivo em geral, que são prestadas no prazo da lei, sob pena de responsabilidade, ressalvadas aquelas cujo sigilo seja imprescindível à segurança da sociedade e do Estado</w:t>
      </w:r>
      <w:r w:rsidRPr="00F72296">
        <w:rPr>
          <w:rFonts w:ascii="Times New Roman" w:eastAsia="Times New Roman" w:hAnsi="Times New Roman" w:cs="Times New Roman"/>
          <w:color w:val="000000"/>
          <w:sz w:val="24"/>
          <w:szCs w:val="24"/>
          <w:lang w:eastAsia="pt-BR"/>
        </w:rPr>
        <w:t>”. Vê-se, claramente, que a Constituição prestigia, agora de forma expressa e específica, a transparência e a publicidade das informações de interesse coletivo em geral – posto ser óbvio que o conhecimento do orçamento das contratações é do interesse particular de qualquer um que pretenda concorrer como fornecedor do Estado.</w:t>
      </w:r>
      <w:hyperlink r:id="rId11" w:anchor="_ftn7" w:history="1">
        <w:r w:rsidRPr="00F72296">
          <w:rPr>
            <w:rFonts w:ascii="Times New Roman" w:eastAsia="Times New Roman" w:hAnsi="Times New Roman" w:cs="Times New Roman"/>
            <w:color w:val="0000FF"/>
            <w:sz w:val="24"/>
            <w:szCs w:val="24"/>
            <w:u w:val="single"/>
            <w:lang w:eastAsia="pt-BR"/>
          </w:rPr>
          <w:t>[7]</w:t>
        </w:r>
      </w:hyperlink>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Tenho, ainda, como pertinentes as considerações trazidas pelo réu dizentes  com a inexistência de qualquer prejuízo efetivo no caso, eis que, consoante informa, 74 empresa adquirido o edital, com propostas de 10 licitantes, sendo a maioria, (oito) organizados em consórcios, totalizando 29 empresas participando do certame, 2 isoladas e 27 reunidas em consórcios, um dos quais venceu a licitação, destacando que houve uma redução da ordem de 40% no orçamento estimado, o que  também estaria a confirmar a ausência de prejuízo ao erário.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b/>
          <w:bCs/>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8) </w:t>
      </w:r>
      <w:r w:rsidRPr="00F72296">
        <w:rPr>
          <w:rFonts w:ascii="Times New Roman" w:eastAsia="Times New Roman" w:hAnsi="Times New Roman" w:cs="Times New Roman"/>
          <w:color w:val="000000"/>
          <w:sz w:val="24"/>
          <w:szCs w:val="24"/>
          <w:u w:val="single"/>
          <w:lang w:eastAsia="pt-BR"/>
        </w:rPr>
        <w:t>INEXISTÊNCIA DE MOTIVAÇÃO/JUSTIFICATIVA PARA A CONTRATAÇÃO INTEGRADA</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Quanto a este aspecto levantado pelo autor, não há como deixar de considerar as argüições trazidas pelo réu que são capazes de confabular em seu favor, pelo menos neste momento processual.</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Esclarece, de efeito, o demandado  que:</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xml:space="preserve">o Edital licitou uma solução integrada, que desafiava elaboração de um projeto básico e de um projeto executivo capaz de entregar o objeto de interesse da Administração Pública, a ser concebido segundo as técnicas e expertises da empresa contratada. O item 12 do Termo de Referência – Apresentação de Soluções Alternativas (DOC. 5), é explícito em relação à possibilidade – e até o interesse – em soluções distintas (...) Em confirmação desta possibilidade, o Consórcio vencedor apresentou duas significativas propostas diferenciais: a) fundação em tubulão de ar comprimido, visando à redução do impacto com as interferências enterradas devido à eliminação do bloco e consequente redução da área de escavação no entorno do pilar; b) utilização do muro TERRAE – HUSKER, contenção composta de blocos segmentais e geogrelha que permitirá a implantação de jardins verticais nas faces externas dos elevados com aspecto mais natural e paisagístico nas rampas de acesso, reduzindo significativamente o impacto visual das obras de arte.  O </w:t>
      </w:r>
      <w:r w:rsidRPr="00F72296">
        <w:rPr>
          <w:rFonts w:ascii="Times New Roman" w:eastAsia="Times New Roman" w:hAnsi="Times New Roman" w:cs="Times New Roman"/>
          <w:color w:val="000000"/>
          <w:sz w:val="24"/>
          <w:szCs w:val="24"/>
          <w:lang w:eastAsia="pt-BR"/>
        </w:rPr>
        <w:lastRenderedPageBreak/>
        <w:t>objeto da contratação – a solução para o problema posto – sua complexidade e a gama diversa de soluções que admite, muitas delas além das expertises dominadas pela Administração Pública, recomenda a adoção do RDC por adequação aos seus objetivos definidos em lei: O resultado em redução de custos (da ordem de 40%) e a afluência de diversos competidores confirmam o atendimento dos incisos I, II e IV, afastando qualquer dúvida da adequação da utilização do RDC, inclusive na modalidade de contratação integrada.</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De ser assim, tem-se como devidamente justificada a escolha do modelo de RDC pelo Município de Salvador, não havendo falar em deficiência na motivação da escolha do regime de contratação integrada. O objeto da licitação, como posto pelo réu, envolve, sim, inovação tecnológica ou técnica e possibilidade de execução com diferentes metodologias, de acordo com o que dispõe o art. 9º, e incisos I, II e III, da Lei nº 12.462/2011.</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Adquire pertinência trazer à lembrança que o RDC, na forma do art. 1º, §1º, do sobredito diploma legislativo, tem como objetivos: a) ampliar a eficiência nas contratações públicas e a competitividade entre os licitantes; b) promover a troca de experiências e tecnologias em busca da melhor relação entre custos e benefícios para o setor público; c) incentivar a inovação tecnológica e d) assegurar tratamento isonômico entre os licitantes e a seleção da proposta mais vantajosa para a administração pública.</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Resulta, nesse primeiro exame de vista, que a contratação levada a efeito pelo Município, se ateve aos parâmetros ditados pela lei em referência que, como ressabido, tem aplicação restrita à aquisição de obras, bens e serviços relativos aos eventos indicados nos incisos do seu art. 1º, quais sejam: Jogos Olímpicos e Paraolímpicos de 2016, Copa das Confederações e da FIFA de 2013 e da Copa do Mundo de 2014, obras de infraestrutura aeroportuária e das ações integrantes do Programa de Aceleração do Crescimento (PAC), como a obra que ora está sendo questionada e que constitui objeto do presente processo.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9) </w:t>
      </w:r>
      <w:r w:rsidRPr="00F72296">
        <w:rPr>
          <w:rFonts w:ascii="Times New Roman" w:eastAsia="Times New Roman" w:hAnsi="Times New Roman" w:cs="Times New Roman"/>
          <w:color w:val="000000"/>
          <w:sz w:val="24"/>
          <w:szCs w:val="24"/>
          <w:u w:val="single"/>
          <w:lang w:eastAsia="pt-BR"/>
        </w:rPr>
        <w:t>FALTA DE JUSTIFICATIVA PARA O NÃO PARCELAMENTO DO OBJETO – RESTRIÇÃO INDEVIDA À AMPLA PARTICIPAÇÃO DOS LICITANTES (ART. 4º, INCISO VI, DA LEI Nº 12.462/2011)</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Não se pode ter como subsistente a argüição, partindo da premissa de que a obra está dividida em três trechos, consoante explicita o município, em sua manifestação, sendo relevante notar, ainda, que o não  parcelamento do objeto, como configurado no inciso VI, do art. 4º, da Lei do RDC, configura mera diretriz a ser seguida nas licitações e contratos, não tendo densidade normativa para determinar a suspensão do contrato que eventualmente não seja precedido do mencionado parcelamento.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xml:space="preserve">Aqui vale referir, mais uma vez,  à posição de Benedito Dantas Chiaradia, segundo a qual, para o RDC, o parcelamento independe do valor do certame e pode ser adotado sempre </w:t>
      </w:r>
      <w:r w:rsidRPr="00F72296">
        <w:rPr>
          <w:rFonts w:ascii="Times New Roman" w:eastAsia="Times New Roman" w:hAnsi="Times New Roman" w:cs="Times New Roman"/>
          <w:color w:val="000000"/>
          <w:sz w:val="24"/>
          <w:szCs w:val="24"/>
          <w:lang w:eastAsia="pt-BR"/>
        </w:rPr>
        <w:lastRenderedPageBreak/>
        <w:t>que a Administração Pública entender oportuno e conveniente, por mais temerária que tal discricionariedade possa parecer.</w:t>
      </w:r>
      <w:hyperlink r:id="rId12" w:anchor="_ftn8" w:history="1">
        <w:r w:rsidRPr="00F72296">
          <w:rPr>
            <w:rFonts w:ascii="Times New Roman" w:eastAsia="Times New Roman" w:hAnsi="Times New Roman" w:cs="Times New Roman"/>
            <w:color w:val="0000FF"/>
            <w:sz w:val="24"/>
            <w:szCs w:val="24"/>
            <w:u w:val="single"/>
            <w:lang w:eastAsia="pt-BR"/>
          </w:rPr>
          <w:t>[8]</w:t>
        </w:r>
      </w:hyperlink>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Por derradeiro, o que se mostra irrecusável, no caso ora em exame, é que  eventual ordem para sustar o contrato celebrado com o consórcio BRT, implicaria em ofensa ao postulado da segurança jurídica, que constitui direito fundamental erigido a </w:t>
      </w:r>
      <w:r w:rsidRPr="00F72296">
        <w:rPr>
          <w:rFonts w:ascii="Times New Roman" w:eastAsia="Times New Roman" w:hAnsi="Times New Roman" w:cs="Times New Roman"/>
          <w:i/>
          <w:iCs/>
          <w:color w:val="000000"/>
          <w:sz w:val="24"/>
          <w:szCs w:val="24"/>
          <w:lang w:eastAsia="pt-BR"/>
        </w:rPr>
        <w:t>status</w:t>
      </w:r>
      <w:r w:rsidRPr="00F72296">
        <w:rPr>
          <w:rFonts w:ascii="Times New Roman" w:eastAsia="Times New Roman" w:hAnsi="Times New Roman" w:cs="Times New Roman"/>
          <w:color w:val="000000"/>
          <w:sz w:val="24"/>
          <w:szCs w:val="24"/>
          <w:lang w:eastAsia="pt-BR"/>
        </w:rPr>
        <w:t> constitucional (art. 5º, XXXVI), e revela o escopo do constituinte de proteger a estabilidade das relações jurídicas, fundamental à realização plena do  Estado Democrático de Direito.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Diante de tanto, no exercício de um juízo delibatório, próprio deste momento processual,  que fundem com a mesma densidade a urgência da decisão e a impossibilidade de uma apreciação mais acurada do caso, em que não é dado ao julgador uma incursão profunda no mérito da causa ou no exame rigoroso dos fatos que lhe dão suporte, tenho como não demonstrados os   elementos evidenciadores da probabilidade do direito alegado.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De outro lado, vislumbro  a presença marcante do perigo na demora reverso, diante, especificamente, das argüições trazidas pelo Município, quais sejam: a) os recursos financeiros do financiamento tomado na CEF já estão no caixa do Município, não existindo risco de interrupção das obras por “</w:t>
      </w:r>
      <w:r w:rsidRPr="00F72296">
        <w:rPr>
          <w:rFonts w:ascii="Times New Roman" w:eastAsia="Times New Roman" w:hAnsi="Times New Roman" w:cs="Times New Roman"/>
          <w:i/>
          <w:iCs/>
          <w:color w:val="000000"/>
          <w:sz w:val="24"/>
          <w:szCs w:val="24"/>
          <w:lang w:eastAsia="pt-BR"/>
        </w:rPr>
        <w:t>insuficiência financeira</w:t>
      </w:r>
      <w:r w:rsidRPr="00F72296">
        <w:rPr>
          <w:rFonts w:ascii="Times New Roman" w:eastAsia="Times New Roman" w:hAnsi="Times New Roman" w:cs="Times New Roman"/>
          <w:color w:val="000000"/>
          <w:sz w:val="24"/>
          <w:szCs w:val="24"/>
          <w:lang w:eastAsia="pt-BR"/>
        </w:rPr>
        <w:t>”, e a não utilização dos recursos segundo o cronograma de desembolsos é que pode implicar no fim do empréstimo; b) configuração do direito do consórcio de obter o reequilíbrio do contrato, caso a suspensão afete o cronograma físico-financeiro deste c) o cancelamento do financiamento da CEF caso os desembolsos não sejam efetuados de acordo com o cronograma; d) o esgotamento dos prazos – e caducidade – das licenças e alvarás obtidos.</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Assim, no presente caso, em sede de cognição sumária, tenho que os argumentos angariados pelo município são suficientemente relevantes  para caracterizar  o </w:t>
      </w:r>
      <w:r w:rsidRPr="00F72296">
        <w:rPr>
          <w:rFonts w:ascii="Times New Roman" w:eastAsia="Times New Roman" w:hAnsi="Times New Roman" w:cs="Times New Roman"/>
          <w:i/>
          <w:iCs/>
          <w:color w:val="000000"/>
          <w:sz w:val="24"/>
          <w:szCs w:val="24"/>
          <w:lang w:eastAsia="pt-BR"/>
        </w:rPr>
        <w:t>periculum in mora </w:t>
      </w:r>
      <w:r w:rsidRPr="00F72296">
        <w:rPr>
          <w:rFonts w:ascii="Times New Roman" w:eastAsia="Times New Roman" w:hAnsi="Times New Roman" w:cs="Times New Roman"/>
          <w:color w:val="000000"/>
          <w:sz w:val="24"/>
          <w:szCs w:val="24"/>
          <w:lang w:eastAsia="pt-BR"/>
        </w:rPr>
        <w:t>inverso, consubstanciado, em suma, em dano ao tesouro municipal e aos interesses e direitos públicos envolvidos, a serem definitivamente custeados pela população tanto em recursos do erário quanto em negação de serviços públicos essenciais, como o é a mobilidade urbana, na cidade de Salvador, e que seria impossível reverter o provimento antecipado, sem que daí adviessem prejuízos de grande monta ao município, com a eventual sustação do ajuste celebrado.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Por todas essas razões expostas a montante, </w:t>
      </w:r>
      <w:r w:rsidRPr="00F72296">
        <w:rPr>
          <w:rFonts w:ascii="Times New Roman" w:eastAsia="Times New Roman" w:hAnsi="Times New Roman" w:cs="Times New Roman"/>
          <w:b/>
          <w:bCs/>
          <w:color w:val="000000"/>
          <w:sz w:val="24"/>
          <w:szCs w:val="24"/>
          <w:lang w:eastAsia="pt-BR"/>
        </w:rPr>
        <w:t>INDEFIRO </w:t>
      </w:r>
      <w:r w:rsidRPr="00F72296">
        <w:rPr>
          <w:rFonts w:ascii="Times New Roman" w:eastAsia="Times New Roman" w:hAnsi="Times New Roman" w:cs="Times New Roman"/>
          <w:color w:val="000000"/>
          <w:sz w:val="24"/>
          <w:szCs w:val="24"/>
          <w:lang w:eastAsia="pt-BR"/>
        </w:rPr>
        <w:t>o pleito de antecipação dos efeitos da tutela para suspender as obras do trecho 1,  do BRT - SALVADOR.</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Determino ao Município de Salvador que, quando da contestação, junte os documentos relacionados (ID 6596145), à exceção dos mapas pela impossibilidade técnica em face de suas dimensões.</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Citem-se os réus, para responder, querendo, no prazo de lei.</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Intime-se o Ministério Público Federal, nos termos do art. 5º, § 1º, da Lei nº 7.347/1985.</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Intimem-se.</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lastRenderedPageBreak/>
        <w:t>Salvador/BA, em 10 de julho de 2018.</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b/>
          <w:bCs/>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b/>
          <w:bCs/>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b/>
          <w:bCs/>
          <w:color w:val="000000"/>
          <w:sz w:val="24"/>
          <w:szCs w:val="24"/>
          <w:lang w:eastAsia="pt-BR"/>
        </w:rPr>
        <w:t>CYNTHIA DE ARAÚJO LIMA LOPES</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Juíza Federal da 14ª Vara da Seção Judiciária da Bahia</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4"/>
          <w:szCs w:val="24"/>
          <w:lang w:eastAsia="pt-BR"/>
        </w:rPr>
        <w:t> </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p>
    <w:p w:rsidR="00F72296" w:rsidRPr="00F72296" w:rsidRDefault="00F72296" w:rsidP="00F72296">
      <w:pPr>
        <w:spacing w:after="0" w:line="240" w:lineRule="auto"/>
        <w:rPr>
          <w:rFonts w:ascii="Times New Roman" w:eastAsia="Times New Roman" w:hAnsi="Times New Roman" w:cs="Times New Roman"/>
          <w:sz w:val="24"/>
          <w:szCs w:val="24"/>
          <w:lang w:eastAsia="pt-BR"/>
        </w:rPr>
      </w:pPr>
      <w:r w:rsidRPr="00F72296">
        <w:rPr>
          <w:rFonts w:ascii="Times New Roman" w:eastAsia="Times New Roman" w:hAnsi="Times New Roman" w:cs="Times New Roman"/>
          <w:sz w:val="24"/>
          <w:szCs w:val="24"/>
          <w:lang w:eastAsia="pt-BR"/>
        </w:rPr>
        <w:pict>
          <v:rect id="_x0000_i1027" style="width:0;height:.75pt" o:hralign="left" o:hrstd="t" o:hrnoshade="t" o:hr="t" fillcolor="black" stroked="f"/>
        </w:pic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13" w:anchor="_ftnref1" w:history="1">
        <w:r w:rsidRPr="00F72296">
          <w:rPr>
            <w:rFonts w:ascii="Times New Roman" w:eastAsia="Times New Roman" w:hAnsi="Times New Roman" w:cs="Times New Roman"/>
            <w:color w:val="0000FF"/>
            <w:sz w:val="24"/>
            <w:szCs w:val="24"/>
            <w:u w:val="single"/>
            <w:lang w:eastAsia="pt-BR"/>
          </w:rPr>
          <w:t>[1]</w:t>
        </w:r>
      </w:hyperlink>
      <w:r w:rsidRPr="00F72296">
        <w:rPr>
          <w:rFonts w:ascii="Times New Roman" w:eastAsia="Times New Roman" w:hAnsi="Times New Roman" w:cs="Times New Roman"/>
          <w:color w:val="000000"/>
          <w:sz w:val="24"/>
          <w:szCs w:val="24"/>
          <w:lang w:eastAsia="pt-BR"/>
        </w:rPr>
        <w:t> JUSTEN FILHO, Marçal. Comentários à lei de licitações e contratos administrativos. 17ª ed. rev., atual. e ampl. 3ª tir. São Paulo: Editora Revista dos Tribunais, 2016 .p. 206</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14" w:anchor="_ftnref2" w:history="1">
        <w:r w:rsidRPr="00F72296">
          <w:rPr>
            <w:rFonts w:ascii="Times New Roman" w:eastAsia="Times New Roman" w:hAnsi="Times New Roman" w:cs="Times New Roman"/>
            <w:color w:val="0000FF"/>
            <w:sz w:val="24"/>
            <w:szCs w:val="24"/>
            <w:u w:val="single"/>
            <w:lang w:eastAsia="pt-BR"/>
          </w:rPr>
          <w:t>[2]</w:t>
        </w:r>
      </w:hyperlink>
      <w:r w:rsidRPr="00F72296">
        <w:rPr>
          <w:rFonts w:ascii="Times New Roman" w:eastAsia="Times New Roman" w:hAnsi="Times New Roman" w:cs="Times New Roman"/>
          <w:color w:val="000000"/>
          <w:sz w:val="24"/>
          <w:szCs w:val="24"/>
          <w:lang w:eastAsia="pt-BR"/>
        </w:rPr>
        <w:t> As licitações e os contratos administrativos: crítica e prática da Lei nº 8.666/1993 e da Lei nº 12.462/2011. Rio de Janeiro: GZ Editora, 2013, p. 616.</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15" w:anchor="_ftnref3" w:history="1">
        <w:r w:rsidRPr="00F72296">
          <w:rPr>
            <w:rFonts w:ascii="Times New Roman" w:eastAsia="Times New Roman" w:hAnsi="Times New Roman" w:cs="Times New Roman"/>
            <w:color w:val="0000FF"/>
            <w:sz w:val="24"/>
            <w:szCs w:val="24"/>
            <w:u w:val="single"/>
            <w:lang w:eastAsia="pt-BR"/>
          </w:rPr>
          <w:t>[3]</w:t>
        </w:r>
      </w:hyperlink>
      <w:r w:rsidRPr="00F72296">
        <w:rPr>
          <w:rFonts w:ascii="Times New Roman" w:eastAsia="Times New Roman" w:hAnsi="Times New Roman" w:cs="Times New Roman"/>
          <w:color w:val="000000"/>
          <w:sz w:val="24"/>
          <w:szCs w:val="24"/>
          <w:lang w:eastAsia="pt-BR"/>
        </w:rPr>
        <w:t> Disponível em: Salvadorsobretrilhos.blogspot.com&gt;.Acesso em: 07 jul.2018</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16" w:anchor="_ftnref4" w:history="1">
        <w:r w:rsidRPr="00F72296">
          <w:rPr>
            <w:rFonts w:ascii="Times New Roman" w:eastAsia="Times New Roman" w:hAnsi="Times New Roman" w:cs="Times New Roman"/>
            <w:color w:val="0000FF"/>
            <w:sz w:val="24"/>
            <w:szCs w:val="24"/>
            <w:u w:val="single"/>
            <w:lang w:eastAsia="pt-BR"/>
          </w:rPr>
          <w:t>[4]</w:t>
        </w:r>
      </w:hyperlink>
      <w:r w:rsidRPr="00F72296">
        <w:rPr>
          <w:rFonts w:ascii="Times New Roman" w:eastAsia="Times New Roman" w:hAnsi="Times New Roman" w:cs="Times New Roman"/>
          <w:color w:val="000000"/>
          <w:sz w:val="24"/>
          <w:szCs w:val="24"/>
          <w:lang w:eastAsia="pt-BR"/>
        </w:rPr>
        <w:t> Art. 9º[...] § 1º A contratação integrada compreende a elaboração e o desenvolvimento dos projetos básico e executivo, a execução de obras e serviços de engenharia, a montagem, a realização de testes, a pré-operação e todas as demais operações necessárias e suficientes para a entrega final do objeto.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17" w:anchor="_ftnref5" w:history="1">
        <w:r w:rsidRPr="00F72296">
          <w:rPr>
            <w:rFonts w:ascii="Times New Roman" w:eastAsia="Times New Roman" w:hAnsi="Times New Roman" w:cs="Times New Roman"/>
            <w:color w:val="0000FF"/>
            <w:sz w:val="24"/>
            <w:szCs w:val="24"/>
            <w:u w:val="single"/>
            <w:lang w:eastAsia="pt-BR"/>
          </w:rPr>
          <w:t>[5]</w:t>
        </w:r>
      </w:hyperlink>
      <w:r w:rsidRPr="00F72296">
        <w:rPr>
          <w:rFonts w:ascii="Times New Roman" w:eastAsia="Times New Roman" w:hAnsi="Times New Roman" w:cs="Times New Roman"/>
          <w:color w:val="000000"/>
          <w:sz w:val="24"/>
          <w:szCs w:val="24"/>
          <w:lang w:eastAsia="pt-BR"/>
        </w:rPr>
        <w:t> Art. 8º.[...]</w:t>
      </w:r>
      <w:r w:rsidRPr="00F72296">
        <w:rPr>
          <w:rFonts w:ascii="Times New Roman" w:eastAsia="Times New Roman" w:hAnsi="Times New Roman" w:cs="Times New Roman"/>
          <w:b/>
          <w:bCs/>
          <w:color w:val="000000"/>
          <w:sz w:val="24"/>
          <w:szCs w:val="24"/>
          <w:lang w:eastAsia="pt-BR"/>
        </w:rPr>
        <w:t> </w:t>
      </w:r>
      <w:r w:rsidRPr="00F72296">
        <w:rPr>
          <w:rFonts w:ascii="Times New Roman" w:eastAsia="Times New Roman" w:hAnsi="Times New Roman" w:cs="Times New Roman"/>
          <w:color w:val="000000"/>
          <w:sz w:val="24"/>
          <w:szCs w:val="24"/>
          <w:lang w:eastAsia="pt-BR"/>
        </w:rPr>
        <w:t>§ 7º É vedada a realização, sem projeto executivo, </w:t>
      </w:r>
      <w:r w:rsidRPr="00F72296">
        <w:rPr>
          <w:rFonts w:ascii="Times New Roman" w:eastAsia="Times New Roman" w:hAnsi="Times New Roman" w:cs="Times New Roman"/>
          <w:b/>
          <w:bCs/>
          <w:color w:val="000000"/>
          <w:sz w:val="24"/>
          <w:szCs w:val="24"/>
          <w:lang w:eastAsia="pt-BR"/>
        </w:rPr>
        <w:t>de obras e serviços de engenharia </w:t>
      </w:r>
      <w:r w:rsidRPr="00F72296">
        <w:rPr>
          <w:rFonts w:ascii="Times New Roman" w:eastAsia="Times New Roman" w:hAnsi="Times New Roman" w:cs="Times New Roman"/>
          <w:color w:val="000000"/>
          <w:sz w:val="24"/>
          <w:szCs w:val="24"/>
          <w:lang w:eastAsia="pt-BR"/>
        </w:rPr>
        <w:t>para cuja concretização tenha sido utilizado o RDC, qualquer que seja o regime adotado</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18" w:anchor="_ftnref6" w:history="1">
        <w:r w:rsidRPr="00F72296">
          <w:rPr>
            <w:rFonts w:ascii="Times New Roman" w:eastAsia="Times New Roman" w:hAnsi="Times New Roman" w:cs="Times New Roman"/>
            <w:color w:val="0000FF"/>
            <w:sz w:val="24"/>
            <w:szCs w:val="24"/>
            <w:u w:val="single"/>
            <w:lang w:eastAsia="pt-BR"/>
          </w:rPr>
          <w:t>[6]</w:t>
        </w:r>
      </w:hyperlink>
      <w:r w:rsidRPr="00F72296">
        <w:rPr>
          <w:rFonts w:ascii="Times New Roman" w:eastAsia="Times New Roman" w:hAnsi="Times New Roman" w:cs="Times New Roman"/>
          <w:color w:val="000000"/>
          <w:sz w:val="24"/>
          <w:szCs w:val="24"/>
          <w:lang w:eastAsia="pt-BR"/>
        </w:rPr>
        <w:t> Direito urbanístico aplicado: os caminhos da eficiência jurídica nos projetos urbanísticos. Curitiba: Juruá, 2017, p. 195-196.</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19" w:anchor="_ftnref7" w:history="1">
        <w:r w:rsidRPr="00F72296">
          <w:rPr>
            <w:rFonts w:ascii="Times New Roman" w:eastAsia="Times New Roman" w:hAnsi="Times New Roman" w:cs="Times New Roman"/>
            <w:color w:val="0000FF"/>
            <w:sz w:val="24"/>
            <w:szCs w:val="24"/>
            <w:u w:val="single"/>
            <w:lang w:eastAsia="pt-BR"/>
          </w:rPr>
          <w:t>[7]</w:t>
        </w:r>
      </w:hyperlink>
      <w:r w:rsidRPr="00F72296">
        <w:rPr>
          <w:rFonts w:ascii="Times New Roman" w:eastAsia="Times New Roman" w:hAnsi="Times New Roman" w:cs="Times New Roman"/>
          <w:color w:val="000000"/>
          <w:sz w:val="24"/>
          <w:szCs w:val="24"/>
          <w:lang w:eastAsia="pt-BR"/>
        </w:rPr>
        <w:t> As licitações e os contratos administrativos: crítica e prática da Lei nº 8.666/1993 e da Lei nº 12.462/2011. Rio de Janeiro: GZ Editora, 2013, p. 630.</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hyperlink r:id="rId20" w:anchor="_ftnref8" w:history="1">
        <w:r w:rsidRPr="00F72296">
          <w:rPr>
            <w:rFonts w:ascii="Times New Roman" w:eastAsia="Times New Roman" w:hAnsi="Times New Roman" w:cs="Times New Roman"/>
            <w:color w:val="0000FF"/>
            <w:sz w:val="24"/>
            <w:szCs w:val="24"/>
            <w:u w:val="single"/>
            <w:lang w:eastAsia="pt-BR"/>
          </w:rPr>
          <w:t>[8]</w:t>
        </w:r>
      </w:hyperlink>
      <w:r w:rsidRPr="00F72296">
        <w:rPr>
          <w:rFonts w:ascii="Times New Roman" w:eastAsia="Times New Roman" w:hAnsi="Times New Roman" w:cs="Times New Roman"/>
          <w:color w:val="000000"/>
          <w:sz w:val="24"/>
          <w:szCs w:val="24"/>
          <w:lang w:eastAsia="pt-BR"/>
        </w:rPr>
        <w:t> As licitações e os contratos administrativos: crítica e prática da Lei nº 8.666/1993 e da Lei nº 12.462/2011. Rio de Janeiro: GZ Editora, 2013, p. 621</w:t>
      </w:r>
    </w:p>
    <w:p w:rsidR="00F72296" w:rsidRPr="00F72296" w:rsidRDefault="00F72296" w:rsidP="00F72296">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7"/>
          <w:szCs w:val="27"/>
          <w:lang w:eastAsia="pt-BR"/>
        </w:rPr>
        <w:t> </w:t>
      </w:r>
    </w:p>
    <w:p w:rsidR="00F72296" w:rsidRPr="00F72296" w:rsidRDefault="00F72296" w:rsidP="00F72296">
      <w:pPr>
        <w:spacing w:after="0" w:line="240" w:lineRule="auto"/>
        <w:rPr>
          <w:rFonts w:ascii="Times New Roman" w:eastAsia="Times New Roman" w:hAnsi="Times New Roman" w:cs="Times New Roman"/>
          <w:sz w:val="24"/>
          <w:szCs w:val="24"/>
          <w:lang w:eastAsia="pt-BR"/>
        </w:rPr>
      </w:pPr>
      <w:r w:rsidRPr="00F72296">
        <w:rPr>
          <w:rFonts w:ascii="Times New Roman" w:eastAsia="Times New Roman" w:hAnsi="Times New Roman" w:cs="Times New Roman"/>
          <w:color w:val="000000"/>
          <w:sz w:val="27"/>
          <w:szCs w:val="27"/>
          <w:lang w:eastAsia="pt-BR"/>
        </w:rPr>
        <w:br/>
      </w:r>
    </w:p>
    <w:p w:rsidR="00F72296" w:rsidRPr="00F72296" w:rsidRDefault="00F72296" w:rsidP="00F72296">
      <w:pPr>
        <w:spacing w:after="0" w:line="240" w:lineRule="auto"/>
        <w:jc w:val="center"/>
        <w:rPr>
          <w:rFonts w:ascii="Times New Roman" w:eastAsia="Times New Roman" w:hAnsi="Times New Roman" w:cs="Times New Roman"/>
          <w:color w:val="000000"/>
          <w:sz w:val="27"/>
          <w:szCs w:val="27"/>
          <w:lang w:eastAsia="pt-BR"/>
        </w:rPr>
      </w:pPr>
      <w:r w:rsidRPr="00F72296">
        <w:rPr>
          <w:rFonts w:ascii="Times New Roman" w:eastAsia="Times New Roman" w:hAnsi="Times New Roman" w:cs="Times New Roman"/>
          <w:color w:val="000000"/>
          <w:sz w:val="27"/>
          <w:szCs w:val="27"/>
          <w:lang w:eastAsia="pt-BR"/>
        </w:rPr>
        <w:lastRenderedPageBreak/>
        <w:t>Imprimir</w:t>
      </w:r>
    </w:p>
    <w:p w:rsidR="00E83C5E" w:rsidRDefault="00E83C5E">
      <w:bookmarkStart w:id="0" w:name="_GoBack"/>
      <w:bookmarkEnd w:id="0"/>
    </w:p>
    <w:sectPr w:rsidR="00E83C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296"/>
    <w:rsid w:val="00E83C5E"/>
    <w:rsid w:val="00F722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3DF78-4ED6-4B1B-9751-9A9A122A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72296"/>
    <w:rPr>
      <w:b/>
      <w:bCs/>
    </w:rPr>
  </w:style>
  <w:style w:type="paragraph" w:styleId="NormalWeb">
    <w:name w:val="Normal (Web)"/>
    <w:basedOn w:val="Normal"/>
    <w:uiPriority w:val="99"/>
    <w:semiHidden/>
    <w:unhideWhenUsed/>
    <w:rsid w:val="00F7229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bold-smaller">
    <w:name w:val="bold-smaller"/>
    <w:basedOn w:val="Normal"/>
    <w:rsid w:val="00F722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72296"/>
    <w:rPr>
      <w:i/>
      <w:iCs/>
    </w:rPr>
  </w:style>
  <w:style w:type="character" w:styleId="Hyperlink">
    <w:name w:val="Hyperlink"/>
    <w:basedOn w:val="Fontepargpadro"/>
    <w:uiPriority w:val="99"/>
    <w:semiHidden/>
    <w:unhideWhenUsed/>
    <w:rsid w:val="00F722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6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e1g.trf1.jus.br/pje/ConsultaPublica/DetalheProcessoConsultaPublica/documentoSemLoginHTML.seam?ca=e2abaee240fdb026d2b740abddd7abacc768b45244e0dc3ba60736f7caf3021d5e742519b12533077c0995218a757b14f3edc15499a4ee9f" TargetMode="External"/><Relationship Id="rId13" Type="http://schemas.openxmlformats.org/officeDocument/2006/relationships/hyperlink" Target="https://pje1g.trf1.jus.br/pje/ConsultaPublica/DetalheProcessoConsultaPublica/documentoSemLoginHTML.seam?ca=e2abaee240fdb026d2b740abddd7abacc768b45244e0dc3ba60736f7caf3021d5e742519b12533077c0995218a757b14f3edc15499a4ee9f" TargetMode="External"/><Relationship Id="rId18" Type="http://schemas.openxmlformats.org/officeDocument/2006/relationships/hyperlink" Target="https://pje1g.trf1.jus.br/pje/ConsultaPublica/DetalheProcessoConsultaPublica/documentoSemLoginHTML.seam?ca=e2abaee240fdb026d2b740abddd7abacc768b45244e0dc3ba60736f7caf3021d5e742519b12533077c0995218a757b14f3edc15499a4ee9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pje1g.trf1.jus.br/pje/ConsultaPublica/DetalheProcessoConsultaPublica/documentoSemLoginHTML.seam?ca=e2abaee240fdb026d2b740abddd7abacc768b45244e0dc3ba60736f7caf3021d5e742519b12533077c0995218a757b14f3edc15499a4ee9f" TargetMode="External"/><Relationship Id="rId12" Type="http://schemas.openxmlformats.org/officeDocument/2006/relationships/hyperlink" Target="https://pje1g.trf1.jus.br/pje/ConsultaPublica/DetalheProcessoConsultaPublica/documentoSemLoginHTML.seam?ca=e2abaee240fdb026d2b740abddd7abacc768b45244e0dc3ba60736f7caf3021d5e742519b12533077c0995218a757b14f3edc15499a4ee9f" TargetMode="External"/><Relationship Id="rId17" Type="http://schemas.openxmlformats.org/officeDocument/2006/relationships/hyperlink" Target="https://pje1g.trf1.jus.br/pje/ConsultaPublica/DetalheProcessoConsultaPublica/documentoSemLoginHTML.seam?ca=e2abaee240fdb026d2b740abddd7abacc768b45244e0dc3ba60736f7caf3021d5e742519b12533077c0995218a757b14f3edc15499a4ee9f" TargetMode="External"/><Relationship Id="rId2" Type="http://schemas.openxmlformats.org/officeDocument/2006/relationships/settings" Target="settings.xml"/><Relationship Id="rId16" Type="http://schemas.openxmlformats.org/officeDocument/2006/relationships/hyperlink" Target="https://pje1g.trf1.jus.br/pje/ConsultaPublica/DetalheProcessoConsultaPublica/documentoSemLoginHTML.seam?ca=e2abaee240fdb026d2b740abddd7abacc768b45244e0dc3ba60736f7caf3021d5e742519b12533077c0995218a757b14f3edc15499a4ee9f" TargetMode="External"/><Relationship Id="rId20" Type="http://schemas.openxmlformats.org/officeDocument/2006/relationships/hyperlink" Target="https://pje1g.trf1.jus.br/pje/ConsultaPublica/DetalheProcessoConsultaPublica/documentoSemLoginHTML.seam?ca=e2abaee240fdb026d2b740abddd7abacc768b45244e0dc3ba60736f7caf3021d5e742519b12533077c0995218a757b14f3edc15499a4ee9f" TargetMode="External"/><Relationship Id="rId1" Type="http://schemas.openxmlformats.org/officeDocument/2006/relationships/styles" Target="styles.xml"/><Relationship Id="rId6" Type="http://schemas.openxmlformats.org/officeDocument/2006/relationships/hyperlink" Target="https://pje1g.trf1.jus.br/pje/ConsultaPublica/DetalheProcessoConsultaPublica/documentoSemLoginHTML.seam?ca=e2abaee240fdb026d2b740abddd7abacc768b45244e0dc3ba60736f7caf3021d5e742519b12533077c0995218a757b14f3edc15499a4ee9f" TargetMode="External"/><Relationship Id="rId11" Type="http://schemas.openxmlformats.org/officeDocument/2006/relationships/hyperlink" Target="https://pje1g.trf1.jus.br/pje/ConsultaPublica/DetalheProcessoConsultaPublica/documentoSemLoginHTML.seam?ca=e2abaee240fdb026d2b740abddd7abacc768b45244e0dc3ba60736f7caf3021d5e742519b12533077c0995218a757b14f3edc15499a4ee9f" TargetMode="External"/><Relationship Id="rId5" Type="http://schemas.openxmlformats.org/officeDocument/2006/relationships/hyperlink" Target="https://pje1g.trf1.jus.br/pje/ConsultaPublica/DetalheProcessoConsultaPublica/documentoSemLoginHTML.seam?ca=e2abaee240fdb026d2b740abddd7abacc768b45244e0dc3ba60736f7caf3021d5e742519b12533077c0995218a757b14f3edc15499a4ee9f" TargetMode="External"/><Relationship Id="rId15" Type="http://schemas.openxmlformats.org/officeDocument/2006/relationships/hyperlink" Target="https://pje1g.trf1.jus.br/pje/ConsultaPublica/DetalheProcessoConsultaPublica/documentoSemLoginHTML.seam?ca=e2abaee240fdb026d2b740abddd7abacc768b45244e0dc3ba60736f7caf3021d5e742519b12533077c0995218a757b14f3edc15499a4ee9f" TargetMode="External"/><Relationship Id="rId10" Type="http://schemas.openxmlformats.org/officeDocument/2006/relationships/hyperlink" Target="https://pje1g.trf1.jus.br/pje/ConsultaPublica/DetalheProcessoConsultaPublica/documentoSemLoginHTML.seam?ca=e2abaee240fdb026d2b740abddd7abacc768b45244e0dc3ba60736f7caf3021d5e742519b12533077c0995218a757b14f3edc15499a4ee9f" TargetMode="External"/><Relationship Id="rId19" Type="http://schemas.openxmlformats.org/officeDocument/2006/relationships/hyperlink" Target="https://pje1g.trf1.jus.br/pje/ConsultaPublica/DetalheProcessoConsultaPublica/documentoSemLoginHTML.seam?ca=e2abaee240fdb026d2b740abddd7abacc768b45244e0dc3ba60736f7caf3021d5e742519b12533077c0995218a757b14f3edc15499a4ee9f" TargetMode="External"/><Relationship Id="rId4" Type="http://schemas.openxmlformats.org/officeDocument/2006/relationships/image" Target="media/image1.png"/><Relationship Id="rId9" Type="http://schemas.openxmlformats.org/officeDocument/2006/relationships/hyperlink" Target="https://pje1g.trf1.jus.br/pje/ConsultaPublica/DetalheProcessoConsultaPublica/documentoSemLoginHTML.seam?ca=e2abaee240fdb026d2b740abddd7abacc768b45244e0dc3ba60736f7caf3021d5e742519b12533077c0995218a757b14f3edc15499a4ee9f" TargetMode="External"/><Relationship Id="rId14" Type="http://schemas.openxmlformats.org/officeDocument/2006/relationships/hyperlink" Target="https://pje1g.trf1.jus.br/pje/ConsultaPublica/DetalheProcessoConsultaPublica/documentoSemLoginHTML.seam?ca=e2abaee240fdb026d2b740abddd7abacc768b45244e0dc3ba60736f7caf3021d5e742519b12533077c0995218a757b14f3edc15499a4ee9f"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8436</Words>
  <Characters>45555</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Francisco</cp:lastModifiedBy>
  <cp:revision>1</cp:revision>
  <dcterms:created xsi:type="dcterms:W3CDTF">2018-07-10T23:52:00Z</dcterms:created>
  <dcterms:modified xsi:type="dcterms:W3CDTF">2018-07-10T23:53:00Z</dcterms:modified>
</cp:coreProperties>
</file>